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sz w:val="84"/>
          <w:szCs w:val="24"/>
        </w:rPr>
      </w:pPr>
      <w:r>
        <w:rPr>
          <w:rFonts w:hint="eastAsia" w:ascii="宋体" w:hAnsi="宋体"/>
          <w:b/>
          <w:bCs/>
          <w:sz w:val="84"/>
          <w:szCs w:val="24"/>
        </w:rPr>
      </w:r>
      <w:r/>
    </w:p>
    <w:p>
      <w:pPr>
        <w:jc w:val="center"/>
        <w:spacing w:before="120" w:after="120" w:line="360" w:lineRule="auto"/>
        <w:rPr>
          <w:rFonts w:hint="eastAsia" w:ascii="宋体" w:hAnsi="宋体"/>
          <w:b/>
          <w:bCs/>
          <w:sz w:val="84"/>
          <w:szCs w:val="24"/>
        </w:rPr>
      </w:pPr>
      <w:r>
        <w:rPr>
          <w:rFonts w:hint="eastAsia" w:ascii="宋体" w:hAnsi="宋体"/>
          <w:b/>
          <w:bCs/>
          <w:sz w:val="84"/>
          <w:szCs w:val="24"/>
        </w:rPr>
        <w:t xml:space="preserve">竞争性磋商文件</w:t>
      </w:r>
      <w:r/>
    </w:p>
    <w:p>
      <w:pPr>
        <w:ind w:firstLine="2249"/>
        <w:jc w:val="left"/>
        <w:spacing w:before="120" w:after="120" w:line="360" w:lineRule="auto"/>
        <w:rPr>
          <w:rFonts w:hint="eastAsia" w:ascii="宋体" w:hAnsi="宋体"/>
          <w:b/>
          <w:bCs/>
          <w:sz w:val="32"/>
          <w:szCs w:val="24"/>
        </w:rPr>
      </w:pPr>
      <w:r>
        <w:rPr>
          <w:rFonts w:hint="eastAsia" w:ascii="宋体" w:hAnsi="宋体"/>
          <w:b/>
          <w:bCs/>
          <w:sz w:val="32"/>
          <w:szCs w:val="24"/>
        </w:rPr>
      </w:r>
      <w:r/>
    </w:p>
    <w:p>
      <w:pPr>
        <w:jc w:val="both"/>
        <w:spacing w:before="120" w:after="120" w:line="360" w:lineRule="auto"/>
        <w:rPr>
          <w:rFonts w:hint="eastAsia" w:ascii="宋体" w:hAnsi="宋体"/>
          <w:b/>
          <w:bCs/>
          <w:sz w:val="32"/>
          <w:szCs w:val="24"/>
          <w:lang w:val="en-US" w:eastAsia="zh-CN"/>
        </w:rPr>
      </w:pPr>
      <w:r>
        <w:rPr>
          <w:rFonts w:hint="eastAsia" w:ascii="宋体" w:hAnsi="宋体"/>
          <w:b/>
          <w:bCs/>
          <w:sz w:val="32"/>
          <w:szCs w:val="24"/>
        </w:rPr>
        <w:t xml:space="preserve">项目名称：</w:t>
      </w:r>
      <w:r>
        <w:rPr>
          <w:rFonts w:hint="eastAsia" w:ascii="宋体" w:hAnsi="宋体"/>
          <w:b/>
          <w:bCs/>
          <w:sz w:val="32"/>
          <w:szCs w:val="24"/>
          <w:lang w:eastAsia="zh-CN"/>
        </w:rPr>
        <w:t xml:space="preserve">海安市应急管理局消防救援装备采购项目</w:t>
      </w:r>
      <w:r/>
    </w:p>
    <w:p>
      <w:pPr>
        <w:jc w:val="both"/>
        <w:spacing w:before="120" w:after="120" w:line="360" w:lineRule="auto"/>
        <w:rPr>
          <w:rFonts w:ascii="宋体" w:hAnsi="宋体"/>
          <w:b/>
          <w:bCs/>
          <w:color w:val="ff0000"/>
          <w:sz w:val="32"/>
          <w:szCs w:val="24"/>
        </w:rPr>
      </w:pPr>
      <w:r>
        <w:rPr>
          <w:rFonts w:hint="eastAsia" w:ascii="宋体" w:hAnsi="宋体"/>
          <w:b/>
          <w:bCs/>
          <w:sz w:val="32"/>
          <w:szCs w:val="24"/>
        </w:rPr>
        <w:t xml:space="preserve">项目编号：JSZC-320685-JSHS-C2026-0019</w:t>
      </w:r>
      <w:r>
        <w:rPr>
          <w:rFonts w:ascii="宋体" w:hAnsi="宋体"/>
          <w:b/>
          <w:bCs/>
          <w:color w:val="ff0000"/>
          <w:sz w:val="32"/>
          <w:szCs w:val="24"/>
        </w:rPr>
        <w:t xml:space="preserve">         </w:t>
      </w:r>
      <w:r/>
    </w:p>
    <w:p>
      <w:pPr>
        <w:ind w:firstLine="1470"/>
        <w:jc w:val="left"/>
        <w:spacing w:before="120" w:after="120" w:line="360" w:lineRule="auto"/>
        <w:rPr>
          <w:rFonts w:hint="eastAsia" w:ascii="宋体" w:hAnsi="宋体"/>
          <w:b/>
          <w:sz w:val="30"/>
          <w:szCs w:val="30"/>
        </w:rPr>
      </w:pPr>
      <w:r>
        <w:rPr>
          <w:rFonts w:hint="eastAsia" w:ascii="宋体" w:hAnsi="宋体"/>
          <w:color w:val="ff0000"/>
          <w:szCs w:val="21"/>
        </w:rPr>
        <w:t xml:space="preserve"> </w:t>
      </w:r>
      <w:r>
        <w:rPr>
          <w:rFonts w:hint="eastAsia" w:ascii="宋体" w:hAnsi="宋体"/>
          <w:szCs w:val="21"/>
        </w:rPr>
        <w:t xml:space="preserve">       </w:t>
      </w:r>
      <w:r>
        <w:rPr>
          <w:rFonts w:hint="eastAsia" w:ascii="宋体" w:hAnsi="宋体"/>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eastAsia="宋体"/>
          <w:b/>
          <w:bCs/>
          <w:sz w:val="32"/>
          <w:szCs w:val="24"/>
          <w:lang w:eastAsia="zh-CN"/>
        </w:rPr>
      </w:pPr>
      <w:r>
        <w:rPr>
          <w:rFonts w:hint="eastAsia" w:ascii="宋体" w:hAnsi="宋体"/>
          <w:b/>
          <w:bCs/>
          <w:sz w:val="32"/>
          <w:szCs w:val="24"/>
        </w:rPr>
        <w:t xml:space="preserve">采购人：</w:t>
      </w:r>
      <w:r>
        <w:rPr>
          <w:rFonts w:hint="eastAsia" w:ascii="宋体" w:hAnsi="宋体"/>
          <w:b/>
          <w:bCs/>
          <w:sz w:val="32"/>
          <w:szCs w:val="24"/>
          <w:lang w:eastAsia="zh-CN"/>
        </w:rPr>
        <w:t xml:space="preserve">海安市应急管理局</w:t>
      </w:r>
      <w:r/>
    </w:p>
    <w:p>
      <w:pPr>
        <w:jc w:val="center"/>
        <w:spacing w:before="120" w:after="120" w:line="360" w:lineRule="auto"/>
        <w:rPr>
          <w:rFonts w:hint="eastAsia" w:ascii="宋体" w:hAnsi="宋体"/>
          <w:b/>
          <w:bCs/>
          <w:sz w:val="32"/>
          <w:szCs w:val="24"/>
        </w:rPr>
      </w:pPr>
      <w:r>
        <w:rPr>
          <w:rFonts w:hint="eastAsia" w:ascii="宋体" w:hAnsi="宋体"/>
          <w:b/>
          <w:bCs/>
          <w:sz w:val="32"/>
          <w:szCs w:val="24"/>
        </w:rPr>
        <w:t xml:space="preserve"> 2026年</w:t>
      </w:r>
      <w:r>
        <w:rPr>
          <w:rFonts w:hint="eastAsia" w:ascii="宋体" w:hAnsi="宋体"/>
          <w:b/>
          <w:bCs/>
          <w:sz w:val="32"/>
          <w:szCs w:val="24"/>
          <w:lang w:val="en-US" w:eastAsia="zh-CN"/>
        </w:rPr>
        <w:t xml:space="preserve">6</w:t>
      </w:r>
      <w:r>
        <w:rPr>
          <w:rFonts w:hint="eastAsia" w:ascii="宋体" w:hAnsi="宋体"/>
          <w:b/>
          <w:bCs/>
          <w:sz w:val="32"/>
          <w:szCs w:val="24"/>
        </w:rPr>
        <w:t xml:space="preserve">月</w:t>
      </w:r>
      <w:r/>
    </w:p>
    <w:p>
      <w:pPr>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p>
    <w:p>
      <w:pPr>
        <w:jc w:val="center"/>
        <w:spacing w:line="480" w:lineRule="auto"/>
        <w:rPr>
          <w:rFonts w:ascii="宋体" w:hAnsi="宋体"/>
          <w:szCs w:val="21"/>
        </w:rPr>
        <w:outlineLvl w:val="0"/>
      </w:pPr>
      <w:r>
        <w:rPr>
          <w:rFonts w:ascii="宋体" w:hAnsi="宋体"/>
          <w:szCs w:val="21"/>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宋体" w:hAnsi="宋体"/>
          <w:b/>
          <w:sz w:val="44"/>
          <w:szCs w:val="21"/>
        </w:rPr>
        <w:t xml:space="preserve">总  目  录</w:t>
      </w:r>
      <w:r/>
    </w:p>
    <w:p>
      <w:pPr>
        <w:spacing w:line="480" w:lineRule="auto"/>
        <w:rPr>
          <w:rFonts w:hint="eastAsia" w:ascii="宋体" w:hAnsi="宋体"/>
          <w:b/>
          <w:sz w:val="28"/>
          <w:szCs w:val="21"/>
        </w:rPr>
      </w:pPr>
      <w:r>
        <w:rPr>
          <w:rFonts w:hint="eastAsia" w:ascii="宋体" w:hAnsi="宋体"/>
          <w:b/>
          <w:sz w:val="28"/>
          <w:szCs w:val="21"/>
        </w:rPr>
      </w:r>
      <w:r/>
    </w:p>
    <w:p>
      <w:pPr>
        <w:numPr>
          <w:ilvl w:val="0"/>
          <w:numId w:val="1"/>
        </w:numPr>
        <w:spacing w:line="480" w:lineRule="auto"/>
        <w:rPr>
          <w:rFonts w:hint="eastAsia" w:ascii="宋体" w:hAnsi="宋体"/>
          <w:sz w:val="32"/>
          <w:szCs w:val="21"/>
        </w:rPr>
        <w:outlineLvl w:val="0"/>
      </w:pPr>
      <w:r>
        <w:rPr>
          <w:rFonts w:hint="eastAsia" w:ascii="宋体" w:hAnsi="宋体"/>
          <w:sz w:val="36"/>
          <w:szCs w:val="21"/>
        </w:rPr>
        <w:t xml:space="preserve">磋商邀请</w:t>
      </w:r>
      <w:r/>
    </w:p>
    <w:p>
      <w:pPr>
        <w:numPr>
          <w:ilvl w:val="0"/>
          <w:numId w:val="1"/>
        </w:numPr>
        <w:spacing w:line="480" w:lineRule="auto"/>
        <w:rPr>
          <w:rFonts w:hint="eastAsia" w:ascii="宋体" w:hAnsi="宋体"/>
          <w:sz w:val="36"/>
          <w:szCs w:val="21"/>
        </w:rPr>
        <w:outlineLvl w:val="0"/>
      </w:pPr>
      <w:r>
        <w:rPr>
          <w:rFonts w:hint="eastAsia" w:ascii="宋体" w:hAnsi="宋体"/>
          <w:bCs/>
          <w:sz w:val="36"/>
          <w:szCs w:val="36"/>
        </w:rPr>
        <w:t xml:space="preserve">供应商须知</w:t>
      </w:r>
      <w:r>
        <w:rPr>
          <w:rFonts w:hint="eastAsia" w:ascii="宋体" w:hAnsi="宋体"/>
          <w:sz w:val="36"/>
          <w:szCs w:val="21"/>
        </w:rPr>
        <w:t xml:space="preserve"> </w:t>
      </w:r>
      <w:r/>
    </w:p>
    <w:p>
      <w:pPr>
        <w:numPr>
          <w:ilvl w:val="0"/>
          <w:numId w:val="1"/>
        </w:numPr>
        <w:spacing w:line="480" w:lineRule="auto"/>
        <w:rPr>
          <w:rFonts w:hint="eastAsia" w:ascii="宋体" w:hAnsi="宋体"/>
          <w:sz w:val="36"/>
          <w:szCs w:val="21"/>
        </w:rPr>
        <w:outlineLvl w:val="0"/>
      </w:pPr>
      <w:r>
        <w:rPr>
          <w:rFonts w:hint="eastAsia" w:ascii="宋体" w:hAnsi="宋体"/>
          <w:sz w:val="36"/>
          <w:szCs w:val="21"/>
        </w:rPr>
        <w:t xml:space="preserve">采购需求</w:t>
      </w:r>
      <w:r/>
    </w:p>
    <w:p>
      <w:pPr>
        <w:numPr>
          <w:ilvl w:val="0"/>
          <w:numId w:val="1"/>
        </w:numPr>
        <w:spacing w:line="480" w:lineRule="auto"/>
        <w:rPr>
          <w:rFonts w:hint="eastAsia" w:ascii="宋体" w:hAnsi="宋体"/>
          <w:sz w:val="36"/>
          <w:szCs w:val="21"/>
        </w:rPr>
        <w:outlineLvl w:val="0"/>
      </w:pPr>
      <w:r>
        <w:rPr>
          <w:rFonts w:hint="eastAsia" w:ascii="宋体" w:hAnsi="宋体"/>
          <w:bCs/>
          <w:sz w:val="36"/>
          <w:szCs w:val="36"/>
        </w:rPr>
        <w:t xml:space="preserve">评审方法与评审标准</w:t>
      </w:r>
      <w:r/>
    </w:p>
    <w:p>
      <w:pPr>
        <w:numPr>
          <w:ilvl w:val="0"/>
          <w:numId w:val="1"/>
        </w:numPr>
        <w:spacing w:line="480" w:lineRule="auto"/>
        <w:rPr>
          <w:rFonts w:hint="eastAsia" w:ascii="宋体" w:hAnsi="宋体"/>
          <w:sz w:val="36"/>
          <w:szCs w:val="21"/>
        </w:rPr>
        <w:outlineLvl w:val="0"/>
      </w:pPr>
      <w:r>
        <w:rPr>
          <w:rFonts w:hint="eastAsia" w:ascii="宋体" w:hAnsi="宋体"/>
          <w:sz w:val="36"/>
          <w:szCs w:val="21"/>
        </w:rPr>
        <w:t xml:space="preserve">响应文件格式</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both"/>
        <w:keepNext/>
        <w:spacing w:line="560" w:lineRule="exact"/>
        <w:rPr>
          <w:rFonts w:hint="eastAsia" w:ascii="宋体" w:hAnsi="宋体"/>
          <w:sz w:val="44"/>
          <w:szCs w:val="44"/>
        </w:rPr>
        <w:outlineLvl w:val="0"/>
      </w:pPr>
      <w:r>
        <w:rPr>
          <w:rFonts w:hint="eastAsia" w:ascii="宋体" w:hAnsi="宋体"/>
          <w:sz w:val="44"/>
          <w:szCs w:val="44"/>
        </w:rPr>
      </w:r>
      <w:bookmarkEnd w:id="0"/>
      <w:r/>
      <w:r/>
    </w:p>
    <w:p>
      <w:pPr>
        <w:jc w:val="both"/>
        <w:keepNext/>
        <w:spacing w:line="560" w:lineRule="exact"/>
        <w:rPr>
          <w:rFonts w:hint="eastAsia" w:ascii="宋体" w:hAnsi="宋体"/>
          <w:sz w:val="44"/>
          <w:szCs w:val="44"/>
        </w:rPr>
        <w:outlineLvl w:val="0"/>
      </w:pPr>
      <w:r>
        <w:rPr>
          <w:rFonts w:hint="eastAsia" w:ascii="宋体" w:hAnsi="宋体"/>
          <w:sz w:val="44"/>
          <w:szCs w:val="4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center"/>
        <w:keepNext/>
        <w:spacing w:line="560" w:lineRule="exact"/>
        <w:rPr>
          <w:rFonts w:hint="eastAsia" w:ascii="宋体" w:hAnsi="宋体"/>
          <w:sz w:val="44"/>
          <w:szCs w:val="44"/>
        </w:rPr>
        <w:outlineLvl w:val="0"/>
      </w:pPr>
      <w:r>
        <w:rPr>
          <w:rFonts w:hint="eastAsia" w:ascii="宋体" w:hAnsi="宋体"/>
          <w:sz w:val="44"/>
          <w:szCs w:val="44"/>
        </w:rPr>
        <w:t xml:space="preserve">第一章  磋商邀请</w:t>
      </w:r>
      <w:r/>
    </w:p>
    <w:p>
      <w:pPr>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海安市应急管理局</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海安市应急管理局消防救援装备采购项目</w:t>
      </w:r>
      <w:r>
        <w:rPr>
          <w:rFonts w:hint="eastAsia" w:ascii="宋体" w:hAnsi="宋体"/>
          <w:sz w:val="24"/>
          <w:szCs w:val="24"/>
        </w:rPr>
        <w:t xml:space="preserve">(</w:t>
      </w: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JSZC-320685-JSHS-C2026-0019</w:t>
      </w:r>
      <w:r>
        <w:rPr>
          <w:rFonts w:hint="eastAsia" w:ascii="宋体" w:hAnsi="宋体"/>
          <w:sz w:val="24"/>
          <w:szCs w:val="24"/>
        </w:rPr>
        <w:t xml:space="preserve">)项目进行竞争性磋商采购，欢迎符合条件的供应商参加磋商。</w:t>
      </w:r>
      <w:r/>
    </w:p>
    <w:p>
      <w:pPr>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海安市应急管理局消防救援装备采购项目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line="560" w:lineRule="exact"/>
        <w:rPr>
          <w:rFonts w:ascii="宋体" w:hAnsi="宋体"/>
          <w:b/>
          <w:bCs/>
          <w:sz w:val="32"/>
          <w:szCs w:val="32"/>
        </w:rPr>
        <w:outlineLvl w:val="2"/>
      </w:pPr>
      <w:r/>
      <w:bookmarkStart w:id="6" w:name="_Toc38985263"/>
      <w:r/>
      <w:bookmarkStart w:id="7" w:name="_Hlk24379207"/>
      <w:r/>
      <w:bookmarkStart w:id="8" w:name="_Toc35393621"/>
      <w:r/>
      <w:bookmarkStart w:id="9" w:name="_Toc28359079"/>
      <w:r/>
      <w:bookmarkStart w:id="10" w:name="_Toc28359002"/>
      <w:r/>
      <w:bookmarkStart w:id="11" w:name="_Toc35393790"/>
      <w:r>
        <w:rPr>
          <w:rFonts w:hint="eastAsia" w:ascii="宋体" w:hAnsi="宋体"/>
          <w:b/>
          <w:bCs/>
          <w:sz w:val="32"/>
          <w:szCs w:val="32"/>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sz w:val="24"/>
          <w:szCs w:val="24"/>
          <w:highlight w:val="yellow"/>
        </w:rPr>
      </w:pPr>
      <w:r>
        <w:rPr>
          <w:rFonts w:hint="eastAsia" w:ascii="宋体" w:hAnsi="宋体"/>
          <w:sz w:val="24"/>
          <w:szCs w:val="24"/>
        </w:rPr>
        <w:t xml:space="preserve">1.</w:t>
      </w:r>
      <w:r>
        <w:rPr>
          <w:rFonts w:hint="eastAsia" w:ascii="宋体" w:hAnsi="宋体"/>
          <w:sz w:val="24"/>
          <w:szCs w:val="24"/>
          <w:highlight w:val="none"/>
        </w:rPr>
        <w:t xml:space="preserve">项目编号：JSZC-320685-JSHS-C2026-0019</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海安市应急管理局消防救援装备采购项目</w:t>
      </w:r>
      <w:r/>
    </w:p>
    <w:p>
      <w:pPr>
        <w:ind w:firstLine="480"/>
        <w:spacing w:line="560" w:lineRule="exact"/>
        <w:rPr>
          <w:rFonts w:hint="eastAsia" w:ascii="宋体" w:hAnsi="宋体"/>
          <w:sz w:val="24"/>
          <w:szCs w:val="24"/>
        </w:rPr>
      </w:pPr>
      <w:r>
        <w:rPr>
          <w:rFonts w:hint="eastAsia" w:ascii="宋体" w:hAnsi="宋体"/>
          <w:sz w:val="24"/>
          <w:szCs w:val="24"/>
        </w:rPr>
        <w:t xml:space="preserve">3.项目类型：货物</w:t>
      </w:r>
      <w:r/>
    </w:p>
    <w:p>
      <w:pPr>
        <w:ind w:firstLine="480"/>
        <w:spacing w:line="560" w:lineRule="exact"/>
        <w:rPr>
          <w:rFonts w:hint="eastAsia" w:ascii="宋体" w:hAnsi="宋体"/>
          <w:sz w:val="24"/>
          <w:szCs w:val="24"/>
        </w:rPr>
      </w:pPr>
      <w:r>
        <w:rPr>
          <w:rFonts w:hint="eastAsia" w:ascii="宋体" w:hAnsi="宋体"/>
          <w:sz w:val="24"/>
          <w:szCs w:val="24"/>
        </w:rPr>
        <w:t xml:space="preserve">4.项目行业：工业</w:t>
      </w:r>
      <w:r/>
    </w:p>
    <w:p>
      <w:pPr>
        <w:ind w:firstLine="480"/>
        <w:spacing w:line="560" w:lineRule="exact"/>
        <w:rPr>
          <w:rFonts w:hint="eastAsia" w:ascii="宋体" w:hAnsi="宋体"/>
          <w:color w:val="ff0000"/>
          <w:sz w:val="24"/>
          <w:szCs w:val="24"/>
          <w:highlight w:val="none"/>
        </w:rPr>
      </w:pPr>
      <w:r>
        <w:rPr>
          <w:rFonts w:hint="eastAsia" w:ascii="宋体" w:hAnsi="宋体"/>
          <w:sz w:val="24"/>
          <w:szCs w:val="24"/>
        </w:rPr>
        <w:t xml:space="preserve">5.预算金额</w:t>
      </w:r>
      <w:r>
        <w:rPr>
          <w:rFonts w:hint="eastAsia" w:ascii="宋体" w:hAnsi="宋体"/>
          <w:sz w:val="24"/>
          <w:szCs w:val="24"/>
          <w:highlight w:val="none"/>
        </w:rPr>
        <w:t xml:space="preserve">：187.712万元。</w:t>
      </w:r>
      <w:r/>
    </w:p>
    <w:p>
      <w:pPr>
        <w:ind w:firstLine="480"/>
        <w:spacing w:line="560" w:lineRule="exact"/>
        <w:rPr>
          <w:rFonts w:ascii="宋体" w:hAnsi="宋体"/>
          <w:sz w:val="24"/>
          <w:szCs w:val="24"/>
        </w:rPr>
      </w:pPr>
      <w:r>
        <w:rPr>
          <w:rFonts w:hint="eastAsia" w:ascii="宋体" w:hAnsi="宋体"/>
          <w:sz w:val="24"/>
          <w:szCs w:val="24"/>
          <w:highlight w:val="none"/>
        </w:rPr>
        <w:t xml:space="preserve">6.最高限价：187.712万元，报</w:t>
      </w:r>
      <w:r>
        <w:rPr>
          <w:rFonts w:hint="eastAsia" w:ascii="宋体" w:hAnsi="宋体"/>
          <w:sz w:val="24"/>
          <w:szCs w:val="24"/>
        </w:rPr>
        <w:t xml:space="preserve">价超过最高限价的将作为无效响应处理。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8.合同履行期限：详见磋商文件</w:t>
      </w:r>
      <w:r/>
    </w:p>
    <w:p>
      <w:pPr>
        <w:ind w:firstLine="498"/>
        <w:keepLines/>
        <w:keepNext/>
        <w:spacing w:line="560" w:lineRule="exact"/>
        <w:rPr>
          <w:rFonts w:ascii="宋体" w:hAnsi="宋体"/>
          <w:b/>
          <w:bCs/>
          <w:sz w:val="32"/>
          <w:szCs w:val="32"/>
        </w:rPr>
        <w:outlineLvl w:val="2"/>
      </w:pPr>
      <w:r/>
      <w:bookmarkStart w:id="12" w:name="_Toc38985264"/>
      <w:r/>
      <w:bookmarkStart w:id="13" w:name="_Toc28359080"/>
      <w:r/>
      <w:bookmarkStart w:id="14" w:name="_Toc28359003"/>
      <w:r/>
      <w:bookmarkStart w:id="15" w:name="_Toc35393622"/>
      <w:r/>
      <w:bookmarkStart w:id="16" w:name="_Toc35393791"/>
      <w:r>
        <w:rPr>
          <w:rFonts w:hint="eastAsia" w:ascii="宋体" w:hAnsi="宋体"/>
          <w:b/>
          <w:bCs/>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sz w:val="24"/>
          <w:szCs w:val="24"/>
        </w:rPr>
      </w:pPr>
      <w:r/>
      <w:bookmarkStart w:id="17" w:name="_Toc35393792"/>
      <w:r/>
      <w:bookmarkStart w:id="18" w:name="_Toc28359004"/>
      <w:r/>
      <w:bookmarkStart w:id="19" w:name="_Toc28359081"/>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(5)参加政府采购活动前3年内在经营活动中没有重大违法记录的书面声明（提供书面声明）；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spacing w:line="560" w:lineRule="exact"/>
        <w:rPr>
          <w:rFonts w:hint="eastAsia" w:ascii="宋体" w:hAnsi="宋体"/>
          <w:sz w:val="24"/>
          <w:szCs w:val="24"/>
        </w:rPr>
      </w:pPr>
      <w:r>
        <w:rPr>
          <w:rFonts w:hint="eastAsia" w:ascii="宋体" w:hAnsi="宋体"/>
          <w:sz w:val="24"/>
          <w:szCs w:val="24"/>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sz w:val="24"/>
          <w:szCs w:val="24"/>
        </w:rPr>
      </w:pPr>
      <w:r>
        <w:rPr>
          <w:rFonts w:hint="eastAsia" w:ascii="宋体" w:hAnsi="宋体"/>
          <w:sz w:val="24"/>
          <w:szCs w:val="24"/>
        </w:rPr>
        <w:t xml:space="preserve">3.</w:t>
      </w:r>
      <w:bookmarkStart w:id="22" w:name="OLE_LINK81"/>
      <w:r/>
      <w:bookmarkStart w:id="23" w:name="OLE_LINK82"/>
      <w:r>
        <w:rPr>
          <w:rFonts w:hint="eastAsia" w:ascii="宋体" w:hAnsi="宋体"/>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sz w:val="24"/>
          <w:szCs w:val="24"/>
        </w:rPr>
        <w:t xml:space="preserve">。</w:t>
      </w:r>
      <w:r>
        <w:rPr>
          <w:rFonts w:hint="eastAsia" w:ascii="宋体" w:hAnsi="宋体"/>
          <w:b/>
          <w:color w:val="ff0000"/>
          <w:sz w:val="24"/>
          <w:szCs w:val="24"/>
        </w:rPr>
        <w:t xml:space="preserve">（提供承诺函，格式详见附件）</w:t>
      </w:r>
      <w:r/>
    </w:p>
    <w:p>
      <w:pPr>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hint="eastAsia"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cs="宋体"/>
          <w:sz w:val="24"/>
          <w:szCs w:val="24"/>
        </w:rPr>
      </w:pPr>
      <w:r>
        <w:rPr>
          <w:rFonts w:hint="eastAsia" w:ascii="宋体" w:hAnsi="宋体"/>
          <w:sz w:val="24"/>
          <w:szCs w:val="24"/>
        </w:rPr>
        <w:t xml:space="preserve">6.本项目不接受分包。</w:t>
      </w:r>
      <w:r/>
    </w:p>
    <w:p>
      <w:pPr>
        <w:ind w:firstLine="480"/>
        <w:spacing w:line="56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三、获取</w:t>
      </w:r>
      <w:bookmarkEnd w:id="17"/>
      <w:r/>
      <w:bookmarkEnd w:id="18"/>
      <w:r/>
      <w:bookmarkEnd w:id="19"/>
      <w:r/>
      <w:bookmarkEnd w:id="20"/>
      <w:r/>
      <w:bookmarkEnd w:id="21"/>
      <w:r>
        <w:rPr>
          <w:rFonts w:hint="eastAsia" w:ascii="宋体" w:hAnsi="宋体"/>
          <w:b/>
          <w:bCs/>
          <w:sz w:val="32"/>
          <w:szCs w:val="32"/>
        </w:rPr>
        <w:t xml:space="preserve">磋商文件</w:t>
      </w:r>
      <w:r/>
    </w:p>
    <w:p>
      <w:pPr>
        <w:ind w:firstLine="540"/>
        <w:spacing w:line="560" w:lineRule="exact"/>
        <w:rPr>
          <w:rFonts w:ascii="宋体" w:hAnsi="宋体" w:cs="宋体"/>
          <w:b/>
          <w:sz w:val="24"/>
          <w:szCs w:val="24"/>
        </w:rPr>
      </w:pPr>
      <w:r/>
      <w:bookmarkStart w:id="24" w:name="_Toc28359082"/>
      <w:r/>
      <w:bookmarkStart w:id="25" w:name="_Toc28359005"/>
      <w:r/>
      <w:bookmarkStart w:id="26" w:name="_Toc35393624"/>
      <w:r/>
      <w:bookmarkStart w:id="27" w:name="_Toc38985266"/>
      <w:r/>
      <w:bookmarkStart w:id="28" w:name="_Toc35393793"/>
      <w:r>
        <w:rPr>
          <w:rFonts w:hint="eastAsia" w:ascii="宋体" w:hAnsi="宋体" w:cs="宋体"/>
          <w:sz w:val="24"/>
          <w:szCs w:val="24"/>
        </w:rPr>
        <w:t xml:space="preserve">1.时间：2026年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日至2026年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日（提供期限自本公告发布之日起不得少于5个工作日）。</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四、提交</w:t>
      </w:r>
      <w:bookmarkEnd w:id="24"/>
      <w:r/>
      <w:bookmarkEnd w:id="25"/>
      <w:r>
        <w:rPr>
          <w:rFonts w:hint="eastAsia" w:ascii="宋体" w:hAnsi="宋体"/>
          <w:b/>
          <w:bCs/>
          <w:sz w:val="32"/>
          <w:szCs w:val="32"/>
        </w:rPr>
        <w:t xml:space="preserve">响应文件截止时间</w:t>
      </w:r>
      <w:bookmarkEnd w:id="26"/>
      <w:r/>
      <w:bookmarkEnd w:id="27"/>
      <w:r/>
      <w:bookmarkEnd w:id="28"/>
      <w:r/>
      <w:r/>
    </w:p>
    <w:p>
      <w:pPr>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bookmarkStart w:id="184" w:name="_GoBack"/>
      <w:r/>
      <w:bookmarkEnd w:id="184"/>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点30分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p>
    <w:p>
      <w:pPr>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sz w:val="32"/>
          <w:szCs w:val="32"/>
        </w:rPr>
        <w:outlineLvl w:val="2"/>
      </w:pPr>
      <w:r/>
      <w:bookmarkStart w:id="29" w:name="_Toc38985267"/>
      <w:r/>
      <w:bookmarkStart w:id="30" w:name="_Toc35393794"/>
      <w:r/>
      <w:bookmarkStart w:id="31" w:name="_Toc28359007"/>
      <w:r/>
      <w:bookmarkStart w:id="32" w:name="_Toc35393625"/>
      <w:r/>
      <w:bookmarkStart w:id="33" w:name="_Toc28359084"/>
      <w:r>
        <w:rPr>
          <w:rFonts w:hint="eastAsia" w:ascii="宋体" w:hAnsi="宋体"/>
          <w:b/>
          <w:bCs/>
          <w:sz w:val="32"/>
          <w:szCs w:val="32"/>
        </w:rPr>
        <w:t xml:space="preserve">五、公告期限</w:t>
      </w:r>
      <w:bookmarkEnd w:id="29"/>
      <w:r/>
      <w:bookmarkEnd w:id="30"/>
      <w:r/>
      <w:bookmarkEnd w:id="31"/>
      <w:r/>
      <w:bookmarkEnd w:id="32"/>
      <w:r/>
      <w:bookmarkEnd w:id="33"/>
      <w:r/>
      <w:r/>
    </w:p>
    <w:p>
      <w:pPr>
        <w:ind w:firstLine="480"/>
        <w:spacing w:line="560" w:lineRule="exact"/>
        <w:rPr>
          <w:rFonts w:ascii="宋体" w:hAnsi="宋体" w:cs="宋体"/>
          <w:sz w:val="24"/>
          <w:szCs w:val="24"/>
        </w:rPr>
      </w:pPr>
      <w:r/>
      <w:bookmarkStart w:id="34" w:name="_Toc38985268"/>
      <w:r/>
      <w:bookmarkStart w:id="35" w:name="_Toc35393626"/>
      <w:r/>
      <w:bookmarkStart w:id="36" w:name="_Toc35393795"/>
      <w:r>
        <w:rPr>
          <w:rFonts w:hint="eastAsia" w:ascii="宋体" w:hAnsi="宋体" w:cs="宋体"/>
          <w:sz w:val="24"/>
          <w:szCs w:val="24"/>
        </w:rPr>
        <w:t xml:space="preserve">磋商公告及磋商文件公告期限为自本公告发布之日起5个工作日。</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六、其他补充事宜</w:t>
      </w:r>
      <w:bookmarkEnd w:id="34"/>
      <w:r/>
      <w:bookmarkEnd w:id="35"/>
      <w:r/>
      <w:bookmarkEnd w:id="3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sz w:val="24"/>
          <w:szCs w:val="24"/>
        </w:rPr>
      </w:pPr>
      <w:r>
        <w:rPr>
          <w:rFonts w:hint="eastAsia" w:ascii="宋体" w:hAnsi="宋体" w:cs="宋体"/>
          <w:sz w:val="24"/>
          <w:szCs w:val="24"/>
        </w:rPr>
        <w:t xml:space="preserve">3.项目演示、样品、答辩等（如有请描述）：详见项目需求</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sz w:val="32"/>
          <w:szCs w:val="32"/>
        </w:rPr>
        <w:outlineLvl w:val="2"/>
      </w:pPr>
      <w:r/>
      <w:bookmarkStart w:id="37" w:name="_Toc35393627"/>
      <w:r/>
      <w:bookmarkStart w:id="38" w:name="_Toc28359008"/>
      <w:r/>
      <w:bookmarkStart w:id="39" w:name="_Toc35393796"/>
      <w:r/>
      <w:bookmarkStart w:id="40" w:name="_Toc38985269"/>
      <w:r/>
      <w:bookmarkStart w:id="41" w:name="_Toc28359085"/>
      <w:r>
        <w:rPr>
          <w:rFonts w:hint="eastAsia" w:ascii="宋体" w:hAnsi="宋体"/>
          <w:b/>
          <w:bCs/>
          <w:sz w:val="32"/>
          <w:szCs w:val="32"/>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海安市应急管理局</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w:t>
      </w:r>
      <w:r>
        <w:rPr>
          <w:rFonts w:hint="eastAsia" w:ascii="宋体" w:hAnsi="宋体"/>
          <w:sz w:val="24"/>
          <w:szCs w:val="24"/>
          <w:lang w:val="en-US" w:eastAsia="zh-CN"/>
        </w:rPr>
        <w:t xml:space="preserve">长江中路106号</w:t>
      </w:r>
      <w:r>
        <w:rPr>
          <w:rFonts w:ascii="宋体" w:hAnsi="宋体" w:cs="宋体"/>
          <w:color w:val="000000"/>
          <w:sz w:val="24"/>
        </w:rPr>
        <w:t xml:space="preserve"> </w:t>
      </w:r>
      <w:r/>
    </w:p>
    <w:p>
      <w:pPr>
        <w:ind w:left="1079" w:hanging="300"/>
        <w:jc w:val="left"/>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薛永明</w:t>
      </w:r>
      <w:r/>
    </w:p>
    <w:p>
      <w:pPr>
        <w:ind w:left="1079" w:hanging="300"/>
        <w:jc w:val="left"/>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hint="eastAsia" w:ascii="宋体" w:hAnsi="宋体"/>
          <w:color w:val="000000"/>
          <w:sz w:val="24"/>
          <w:szCs w:val="24"/>
          <w:lang w:val="en-US" w:eastAsia="zh-CN"/>
        </w:rPr>
        <w:t xml:space="preserve">15851283512</w:t>
      </w:r>
      <w:r/>
    </w:p>
    <w:p>
      <w:pPr>
        <w:ind w:left="1079" w:hanging="300"/>
        <w:jc w:val="left"/>
        <w:spacing w:line="560" w:lineRule="exact"/>
        <w:rPr>
          <w:rFonts w:ascii="宋体" w:hAnsi="宋体" w:cs="宋体"/>
          <w:sz w:val="24"/>
          <w:szCs w:val="24"/>
        </w:rPr>
      </w:pPr>
      <w:r>
        <w:rPr>
          <w:rFonts w:hint="eastAsia" w:ascii="宋体" w:hAnsi="宋体" w:cs="宋体"/>
          <w:sz w:val="24"/>
          <w:szCs w:val="24"/>
        </w:rPr>
        <w:t xml:space="preserve">2.采购代理机构信息</w:t>
      </w:r>
      <w:r/>
    </w:p>
    <w:p>
      <w:pPr>
        <w:ind w:firstLine="720"/>
        <w:spacing w:line="560" w:lineRule="exact"/>
        <w:rPr>
          <w:rFonts w:ascii="宋体" w:hAnsi="宋体"/>
          <w:sz w:val="24"/>
          <w:szCs w:val="24"/>
        </w:rPr>
      </w:pPr>
      <w:r>
        <w:rPr>
          <w:rFonts w:hint="eastAsia" w:ascii="宋体" w:hAnsi="宋体"/>
          <w:sz w:val="24"/>
          <w:szCs w:val="24"/>
        </w:rPr>
        <w:t xml:space="preserve">名 </w:t>
      </w:r>
      <w:r>
        <w:rPr>
          <w:rFonts w:hint="eastAsia" w:ascii="宋体" w:hAnsi="宋体"/>
          <w:sz w:val="24"/>
          <w:szCs w:val="24"/>
          <w:lang w:val="en-US" w:eastAsia="zh-CN"/>
        </w:rPr>
        <w:t xml:space="preserve">   </w:t>
      </w:r>
      <w:r>
        <w:rPr>
          <w:rFonts w:hint="eastAsia" w:ascii="宋体" w:hAnsi="宋体"/>
          <w:sz w:val="24"/>
          <w:szCs w:val="24"/>
        </w:rPr>
        <w:t xml:space="preserve">称：</w:t>
      </w:r>
      <w:r>
        <w:rPr>
          <w:rFonts w:hint="eastAsia" w:ascii="宋体" w:hAnsi="宋体"/>
          <w:sz w:val="24"/>
          <w:szCs w:val="24"/>
          <w:lang w:eastAsia="zh-CN"/>
        </w:rPr>
        <w:t xml:space="preserve">江苏海审工程咨询有限公司</w:t>
      </w:r>
      <w:r>
        <w:rPr>
          <w:rFonts w:hint="eastAsia" w:ascii="宋体" w:hAnsi="宋体"/>
          <w:sz w:val="24"/>
          <w:szCs w:val="24"/>
        </w:rPr>
        <w:t xml:space="preserve"> </w:t>
      </w:r>
      <w:r/>
    </w:p>
    <w:p>
      <w:pPr>
        <w:ind w:firstLine="720"/>
        <w:spacing w:line="560" w:lineRule="exact"/>
        <w:rPr>
          <w:rFonts w:ascii="宋体" w:hAnsi="宋体" w:eastAsia="宋体"/>
          <w:lang w:val="en-US" w:eastAsia="zh-CN"/>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址：海安市</w:t>
      </w:r>
      <w:r>
        <w:rPr>
          <w:rFonts w:hint="eastAsia" w:ascii="宋体" w:hAnsi="宋体"/>
          <w:sz w:val="24"/>
          <w:szCs w:val="24"/>
          <w:lang w:val="en-US" w:eastAsia="zh-CN"/>
        </w:rPr>
        <w:t xml:space="preserve">长江中路122号</w:t>
      </w:r>
      <w:r/>
    </w:p>
    <w:p>
      <w:pPr>
        <w:ind w:firstLine="720"/>
        <w:spacing w:line="560" w:lineRule="exact"/>
        <w:rPr>
          <w:rFonts w:hint="eastAsia" w:ascii="宋体" w:hAnsi="宋体" w:eastAsia="宋体"/>
          <w:sz w:val="24"/>
          <w:szCs w:val="24"/>
          <w:lang w:eastAsia="zh-CN"/>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val="en-US" w:eastAsia="zh-CN"/>
        </w:rPr>
        <w:t xml:space="preserve">徐迪徇</w:t>
      </w:r>
      <w:r/>
    </w:p>
    <w:p>
      <w:pPr>
        <w:ind w:firstLine="720"/>
        <w:spacing w:line="560" w:lineRule="exact"/>
        <w:rPr>
          <w:rFonts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hint="eastAsia" w:ascii="宋体" w:hAnsi="宋体" w:eastAsia="宋体"/>
          <w:sz w:val="24"/>
          <w:szCs w:val="24"/>
          <w:u w:val="single"/>
          <w:lang w:eastAsia="zh-CN"/>
        </w:rPr>
      </w:pPr>
      <w:r>
        <w:rPr>
          <w:rFonts w:hint="eastAsia" w:ascii="宋体" w:hAnsi="宋体"/>
          <w:sz w:val="24"/>
          <w:szCs w:val="24"/>
        </w:rPr>
        <w:t xml:space="preserve">磋商文件制作人: </w:t>
      </w:r>
      <w:r>
        <w:rPr>
          <w:rFonts w:hint="eastAsia" w:ascii="宋体" w:hAnsi="宋体"/>
          <w:sz w:val="24"/>
          <w:szCs w:val="24"/>
          <w:lang w:val="en-US" w:eastAsia="zh-CN"/>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项目磋商经办人：15851283512</w:t>
      </w:r>
      <w:r/>
    </w:p>
    <w:p>
      <w:pPr>
        <w:ind w:firstLine="720"/>
        <w:spacing w:line="560" w:lineRule="exact"/>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0519-86722801、0519-8672280</w:t>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center"/>
        <w:keepLines/>
        <w:keepNext/>
        <w:spacing w:line="520" w:lineRule="exact"/>
        <w:rPr>
          <w:rFonts w:hint="eastAsia" w:ascii="宋体" w:hAnsi="宋体" w:cs="Arial"/>
          <w:sz w:val="44"/>
          <w:szCs w:val="44"/>
        </w:rPr>
        <w:outlineLvl w:val="1"/>
      </w:pPr>
      <w:r/>
      <w:bookmarkStart w:id="42" w:name="_Toc120614211"/>
      <w:r>
        <w:rPr>
          <w:rFonts w:hint="eastAsia" w:ascii="宋体" w:hAnsi="宋体" w:cs="Arial"/>
          <w:b/>
          <w:bCs/>
          <w:sz w:val="44"/>
          <w:szCs w:val="44"/>
        </w:rPr>
        <w:t xml:space="preserve">第二章  </w:t>
      </w:r>
      <w:bookmarkEnd w:id="1"/>
      <w:r/>
      <w:bookmarkEnd w:id="2"/>
      <w:r/>
      <w:bookmarkEnd w:id="3"/>
      <w:r/>
      <w:bookmarkEnd w:id="4"/>
      <w:r/>
      <w:bookmarkEnd w:id="5"/>
      <w:r/>
      <w:bookmarkEnd w:id="42"/>
      <w:r>
        <w:rPr>
          <w:rFonts w:hint="eastAsia" w:ascii="宋体" w:hAnsi="宋体" w:cs="Arial"/>
          <w:b/>
          <w:bCs/>
          <w:sz w:val="44"/>
          <w:szCs w:val="44"/>
        </w:rPr>
        <w:t xml:space="preserve">供应商须知</w:t>
      </w:r>
      <w:r/>
    </w:p>
    <w:p>
      <w:pPr>
        <w:keepLines/>
        <w:keepNext/>
        <w:spacing w:line="520" w:lineRule="exact"/>
        <w:rPr>
          <w:rFonts w:hint="eastAsia" w:ascii="宋体" w:hAnsi="宋体"/>
          <w:b/>
          <w:bCs/>
          <w:sz w:val="32"/>
          <w:szCs w:val="32"/>
        </w:rPr>
        <w:outlineLvl w:val="2"/>
      </w:pPr>
      <w:r/>
      <w:bookmarkStart w:id="43" w:name="_Toc16938519"/>
      <w:r/>
      <w:bookmarkStart w:id="44" w:name="_Toc513029203"/>
      <w:r/>
      <w:bookmarkStart w:id="45" w:name="_Toc20823275"/>
      <w:r/>
      <w:bookmarkStart w:id="46" w:name="_Toc120614214"/>
      <w:r>
        <w:rPr>
          <w:rFonts w:hint="eastAsia" w:ascii="宋体" w:hAnsi="宋体"/>
          <w:b/>
          <w:bCs/>
          <w:sz w:val="32"/>
          <w:szCs w:val="32"/>
        </w:rPr>
        <w:t xml:space="preserve">一、总则</w:t>
      </w:r>
      <w:bookmarkEnd w:id="43"/>
      <w:r/>
      <w:bookmarkEnd w:id="44"/>
      <w:r/>
      <w:bookmarkEnd w:id="45"/>
      <w:r/>
      <w:bookmarkEnd w:id="46"/>
      <w:r/>
      <w:r/>
    </w:p>
    <w:p>
      <w:pPr>
        <w:ind w:firstLine="420"/>
        <w:keepLines/>
        <w:keepNext/>
        <w:spacing w:line="520" w:lineRule="exact"/>
        <w:rPr>
          <w:rFonts w:hint="eastAsia" w:ascii="宋体" w:hAnsi="宋体" w:cs="Arial"/>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cs="Arial"/>
          <w:sz w:val="28"/>
          <w:szCs w:val="28"/>
        </w:rPr>
        <w:t xml:space="preserve">1</w:t>
      </w:r>
      <w:bookmarkEnd w:id="48"/>
      <w:r>
        <w:rPr>
          <w:rFonts w:hint="eastAsia" w:ascii="宋体" w:hAnsi="宋体" w:cs="Arial"/>
          <w:sz w:val="28"/>
          <w:szCs w:val="28"/>
        </w:rPr>
        <w:t xml:space="preserve">.采购方式</w:t>
      </w:r>
      <w:bookmarkEnd w:id="49"/>
      <w:r/>
      <w:bookmarkEnd w:id="50"/>
      <w:r/>
      <w:bookmarkEnd w:id="51"/>
      <w:r/>
      <w:r/>
    </w:p>
    <w:p>
      <w:pPr>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sz w:val="28"/>
          <w:szCs w:val="28"/>
        </w:rPr>
        <w:outlineLvl w:val="3"/>
      </w:pPr>
      <w:r/>
      <w:bookmarkStart w:id="52" w:name="_Toc20823277"/>
      <w:r/>
      <w:bookmarkStart w:id="53" w:name="_Toc16938521"/>
      <w:r/>
      <w:bookmarkStart w:id="54" w:name="_Toc513029205"/>
      <w:r>
        <w:rPr>
          <w:rFonts w:hint="eastAsia" w:ascii="宋体" w:hAnsi="宋体" w:cs="Arial"/>
          <w:sz w:val="28"/>
          <w:szCs w:val="28"/>
        </w:rPr>
        <w:t xml:space="preserve">2.合格的</w:t>
      </w:r>
      <w:bookmarkEnd w:id="52"/>
      <w:r/>
      <w:bookmarkEnd w:id="53"/>
      <w:r/>
      <w:bookmarkEnd w:id="54"/>
      <w:r>
        <w:rPr>
          <w:rFonts w:hint="eastAsia" w:ascii="宋体" w:hAnsi="宋体" w:cs="Arial"/>
          <w:sz w:val="28"/>
          <w:szCs w:val="28"/>
        </w:rPr>
        <w:t xml:space="preserve">供应商</w:t>
      </w:r>
      <w:r/>
    </w:p>
    <w:p>
      <w:pPr>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spacing w:line="520" w:lineRule="exact"/>
        <w:rPr>
          <w:rFonts w:hint="eastAsia" w:ascii="宋体" w:hAnsi="宋体" w:cs="Arial"/>
          <w:sz w:val="28"/>
          <w:szCs w:val="28"/>
        </w:rPr>
        <w:outlineLvl w:val="3"/>
      </w:pPr>
      <w:r/>
      <w:bookmarkStart w:id="55" w:name="_Toc20823278"/>
      <w:r/>
      <w:bookmarkStart w:id="56" w:name="_Toc513029206"/>
      <w:r/>
      <w:bookmarkStart w:id="57" w:name="_Toc16938522"/>
      <w:r>
        <w:rPr>
          <w:rFonts w:hint="eastAsia" w:ascii="宋体" w:hAnsi="宋体" w:cs="Arial"/>
          <w:sz w:val="28"/>
          <w:szCs w:val="28"/>
        </w:rPr>
        <w:t xml:space="preserve">3.适用法律</w:t>
      </w:r>
      <w:bookmarkEnd w:id="55"/>
      <w:r/>
      <w:bookmarkEnd w:id="56"/>
      <w:r/>
      <w:bookmarkEnd w:id="57"/>
      <w:r/>
      <w:r/>
    </w:p>
    <w:p>
      <w:pPr>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spacing w:line="520" w:lineRule="exact"/>
        <w:rPr>
          <w:rFonts w:hint="eastAsia" w:ascii="宋体" w:hAnsi="宋体" w:cs="Arial"/>
          <w:sz w:val="28"/>
          <w:szCs w:val="28"/>
        </w:rPr>
        <w:outlineLvl w:val="3"/>
      </w:pPr>
      <w:r/>
      <w:bookmarkStart w:id="58" w:name="_Toc462564067"/>
      <w:r/>
      <w:bookmarkStart w:id="59" w:name="_Toc20823279"/>
      <w:r/>
      <w:bookmarkStart w:id="60" w:name="_Toc513029207"/>
      <w:r/>
      <w:bookmarkStart w:id="61" w:name="_Toc16938523"/>
      <w:r>
        <w:rPr>
          <w:rFonts w:hint="eastAsia" w:ascii="宋体" w:hAnsi="宋体" w:cs="Arial"/>
          <w:sz w:val="28"/>
          <w:szCs w:val="28"/>
        </w:rPr>
        <w:t xml:space="preserve">4.磋商费用</w:t>
      </w:r>
      <w:bookmarkEnd w:id="58"/>
      <w:r/>
      <w:bookmarkEnd w:id="59"/>
      <w:r/>
      <w:bookmarkEnd w:id="60"/>
      <w:r/>
      <w:bookmarkEnd w:id="61"/>
      <w:r/>
      <w:r/>
    </w:p>
    <w:p>
      <w:pPr>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p>
    <w:p>
      <w:pPr>
        <w:ind w:firstLine="480"/>
        <w:spacing w:line="520" w:lineRule="exact"/>
        <w:rPr>
          <w:rFonts w:hint="eastAsia" w:ascii="宋体" w:hAnsi="宋体"/>
          <w:color w:val="ff0000"/>
          <w:sz w:val="24"/>
          <w:szCs w:val="21"/>
        </w:rPr>
      </w:pPr>
      <w:r>
        <w:rPr>
          <w:rFonts w:hint="eastAsia" w:ascii="宋体" w:hAnsi="宋体"/>
          <w:sz w:val="24"/>
          <w:szCs w:val="21"/>
        </w:rPr>
        <w:t xml:space="preserve">4.3本项目招标代理服务费按照《江苏省招标代理服务收费的指导意见》（苏招协〔2022〕2号）收费标准的</w:t>
      </w:r>
      <w:r>
        <w:rPr>
          <w:rFonts w:hint="eastAsia" w:ascii="宋体" w:hAnsi="宋体"/>
          <w:sz w:val="24"/>
          <w:szCs w:val="21"/>
          <w:lang w:val="en-US" w:eastAsia="zh-CN"/>
        </w:rPr>
        <w:t xml:space="preserve">50</w:t>
      </w:r>
      <w:r>
        <w:rPr>
          <w:rFonts w:hint="eastAsia" w:ascii="宋体" w:hAnsi="宋体"/>
          <w:sz w:val="24"/>
          <w:szCs w:val="21"/>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keepLines/>
        <w:keepNext/>
        <w:spacing w:line="520" w:lineRule="exact"/>
        <w:rPr>
          <w:rFonts w:hint="eastAsia" w:ascii="宋体" w:hAnsi="宋体"/>
          <w:b/>
          <w:bCs/>
          <w:sz w:val="32"/>
          <w:szCs w:val="32"/>
        </w:rPr>
        <w:outlineLvl w:val="2"/>
      </w:pPr>
      <w:r/>
      <w:bookmarkStart w:id="62" w:name="_Toc513029209"/>
      <w:r/>
      <w:bookmarkStart w:id="63" w:name="_Toc20823281"/>
      <w:r/>
      <w:bookmarkStart w:id="64" w:name="_Toc16938525"/>
      <w:r/>
      <w:bookmarkStart w:id="65" w:name="_Toc120614215"/>
      <w:r>
        <w:rPr>
          <w:rFonts w:hint="eastAsia" w:ascii="宋体" w:hAnsi="宋体"/>
          <w:b/>
          <w:bCs/>
          <w:sz w:val="32"/>
          <w:szCs w:val="32"/>
        </w:rPr>
        <w:t xml:space="preserve">二、</w:t>
      </w:r>
      <w:bookmarkEnd w:id="62"/>
      <w:r/>
      <w:bookmarkEnd w:id="63"/>
      <w:r/>
      <w:bookmarkEnd w:id="64"/>
      <w:r/>
      <w:bookmarkEnd w:id="65"/>
      <w:r>
        <w:rPr>
          <w:rFonts w:hint="eastAsia" w:ascii="宋体" w:hAnsi="宋体"/>
          <w:b/>
          <w:bCs/>
          <w:sz w:val="32"/>
          <w:szCs w:val="32"/>
        </w:rPr>
        <w:t xml:space="preserve">磋商文件</w:t>
      </w:r>
      <w:r/>
    </w:p>
    <w:p>
      <w:pPr>
        <w:ind w:firstLine="420"/>
        <w:keepLines/>
        <w:keepNext/>
        <w:spacing w:line="520" w:lineRule="exact"/>
        <w:rPr>
          <w:rFonts w:hint="eastAsia" w:ascii="宋体" w:hAnsi="宋体" w:cs="Arial"/>
          <w:sz w:val="28"/>
          <w:szCs w:val="28"/>
        </w:rPr>
        <w:outlineLvl w:val="3"/>
      </w:pPr>
      <w:r/>
      <w:bookmarkStart w:id="66" w:name="_Toc513029210"/>
      <w:r/>
      <w:bookmarkStart w:id="67" w:name="_Toc20823282"/>
      <w:r/>
      <w:bookmarkStart w:id="68" w:name="_Toc16938526"/>
      <w:r>
        <w:rPr>
          <w:rFonts w:hint="eastAsia" w:ascii="宋体" w:hAnsi="宋体" w:cs="Arial"/>
          <w:sz w:val="28"/>
          <w:szCs w:val="28"/>
        </w:rPr>
        <w:t xml:space="preserve">6.磋商文件构成</w:t>
      </w:r>
      <w:bookmarkEnd w:id="66"/>
      <w:r/>
      <w:bookmarkEnd w:id="67"/>
      <w:r/>
      <w:bookmarkEnd w:id="68"/>
      <w:r/>
      <w:r/>
    </w:p>
    <w:p>
      <w:pPr>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ind w:firstLine="360"/>
        <w:spacing w:line="520" w:lineRule="exact"/>
        <w:rPr>
          <w:rFonts w:hint="eastAsia" w:ascii="宋体" w:hAnsi="宋体"/>
          <w:sz w:val="24"/>
          <w:szCs w:val="24"/>
        </w:rPr>
      </w:pPr>
      <w:r>
        <w:rPr>
          <w:rFonts w:hint="eastAsia" w:ascii="宋体" w:hAnsi="宋体"/>
          <w:sz w:val="24"/>
          <w:szCs w:val="24"/>
        </w:rPr>
        <w:t xml:space="preserve">（3）采购需求</w:t>
      </w:r>
      <w:r/>
    </w:p>
    <w:p>
      <w:pPr>
        <w:ind w:firstLine="360"/>
        <w:spacing w:line="520" w:lineRule="exact"/>
        <w:rPr>
          <w:rFonts w:hint="eastAsia" w:ascii="宋体" w:hAnsi="宋体"/>
          <w:sz w:val="24"/>
          <w:szCs w:val="24"/>
        </w:rPr>
      </w:pPr>
      <w:r>
        <w:rPr>
          <w:rFonts w:hint="eastAsia" w:ascii="宋体" w:hAnsi="宋体"/>
          <w:sz w:val="24"/>
          <w:szCs w:val="24"/>
        </w:rPr>
        <w:t xml:space="preserve">（4）评审方法与评审标准</w:t>
      </w:r>
      <w:r/>
    </w:p>
    <w:p>
      <w:pPr>
        <w:ind w:firstLine="360"/>
        <w:spacing w:line="520" w:lineRule="exact"/>
        <w:rPr>
          <w:rFonts w:hint="eastAsia" w:ascii="宋体" w:hAnsi="宋体"/>
          <w:sz w:val="24"/>
          <w:szCs w:val="24"/>
        </w:rPr>
      </w:pPr>
      <w:r>
        <w:rPr>
          <w:rFonts w:hint="eastAsia" w:ascii="宋体" w:hAnsi="宋体"/>
          <w:sz w:val="24"/>
          <w:szCs w:val="24"/>
        </w:rPr>
        <w:t xml:space="preserve">（5）响应文件格式</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p>
    <w:p>
      <w:pPr>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p>
    <w:p>
      <w:pPr>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sz w:val="28"/>
          <w:szCs w:val="28"/>
        </w:rPr>
        <w:outlineLvl w:val="3"/>
      </w:pPr>
      <w:r/>
      <w:bookmarkStart w:id="69" w:name="_Toc513029211"/>
      <w:r/>
      <w:bookmarkStart w:id="70" w:name="_Toc462564070"/>
      <w:r/>
      <w:bookmarkStart w:id="71" w:name="_Toc20823283"/>
      <w:r/>
      <w:bookmarkStart w:id="72" w:name="_Toc16938527"/>
      <w:r>
        <w:rPr>
          <w:rFonts w:hint="eastAsia" w:ascii="宋体" w:hAnsi="宋体" w:cs="Arial"/>
          <w:sz w:val="28"/>
          <w:szCs w:val="28"/>
        </w:rPr>
        <w:t xml:space="preserve">7.磋商文件的澄清</w:t>
      </w:r>
      <w:bookmarkEnd w:id="69"/>
      <w:r/>
      <w:bookmarkEnd w:id="70"/>
      <w:r/>
      <w:bookmarkEnd w:id="71"/>
      <w:r/>
      <w:bookmarkEnd w:id="72"/>
      <w:r/>
      <w:r/>
    </w:p>
    <w:p>
      <w:pPr>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按磋商公告中的通讯地址，以书面形式通知采购人或采购代理机构。</w:t>
      </w:r>
      <w:r/>
    </w:p>
    <w:p>
      <w:pPr>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p>
    <w:p>
      <w:pPr>
        <w:ind w:firstLine="560"/>
        <w:keepLines/>
        <w:keepNext/>
        <w:spacing w:line="520" w:lineRule="exact"/>
        <w:rPr>
          <w:rFonts w:hint="eastAsia" w:ascii="宋体" w:hAnsi="宋体" w:cs="Arial"/>
          <w:sz w:val="28"/>
          <w:szCs w:val="28"/>
        </w:rPr>
        <w:outlineLvl w:val="3"/>
      </w:pPr>
      <w:r/>
      <w:bookmarkStart w:id="73" w:name="_Toc16938528"/>
      <w:r/>
      <w:bookmarkStart w:id="74" w:name="_Toc513029212"/>
      <w:r/>
      <w:bookmarkStart w:id="75" w:name="_Toc20823284"/>
      <w:r/>
      <w:bookmarkStart w:id="76" w:name="_Toc462564071"/>
      <w:r>
        <w:rPr>
          <w:rFonts w:hint="eastAsia" w:ascii="宋体" w:hAnsi="宋体" w:cs="Arial"/>
          <w:sz w:val="28"/>
          <w:szCs w:val="28"/>
        </w:rPr>
        <w:t xml:space="preserve">8.磋商文件的澄清和修改</w:t>
      </w:r>
      <w:bookmarkEnd w:id="73"/>
      <w:r/>
      <w:bookmarkEnd w:id="74"/>
      <w:r/>
      <w:bookmarkEnd w:id="75"/>
      <w:r/>
      <w:bookmarkEnd w:id="76"/>
      <w:r/>
      <w:r/>
    </w:p>
    <w:p>
      <w:pPr>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在响应文件提交截止时间前，采购人或采购代理机构可以对磋商文件进行澄清和修改,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sz w:val="32"/>
          <w:szCs w:val="32"/>
        </w:rPr>
        <w:outlineLvl w:val="2"/>
      </w:pPr>
      <w:r/>
      <w:bookmarkStart w:id="77" w:name="_Toc462564072"/>
      <w:r/>
      <w:bookmarkStart w:id="78" w:name="_Toc20823285"/>
      <w:r/>
      <w:bookmarkStart w:id="79" w:name="_Toc120614216"/>
      <w:r/>
      <w:bookmarkStart w:id="80" w:name="_Toc513029213"/>
      <w:r/>
      <w:bookmarkStart w:id="81" w:name="_Toc16938529"/>
      <w:r>
        <w:rPr>
          <w:rFonts w:hint="eastAsia" w:ascii="宋体" w:hAnsi="宋体"/>
          <w:b/>
          <w:bCs/>
          <w:sz w:val="32"/>
          <w:szCs w:val="32"/>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sz w:val="28"/>
          <w:szCs w:val="28"/>
        </w:rPr>
        <w:outlineLvl w:val="3"/>
      </w:pPr>
      <w:r/>
      <w:bookmarkStart w:id="82" w:name="_Toc16938530"/>
      <w:r/>
      <w:bookmarkStart w:id="83" w:name="_Toc20823286"/>
      <w:r/>
      <w:bookmarkStart w:id="84" w:name="_Toc513029214"/>
      <w:r/>
      <w:bookmarkStart w:id="85" w:name="_Toc462564073"/>
      <w:r>
        <w:rPr>
          <w:rFonts w:hint="eastAsia" w:ascii="宋体" w:hAnsi="宋体" w:cs="Arial"/>
          <w:sz w:val="28"/>
          <w:szCs w:val="28"/>
        </w:rPr>
        <w:t xml:space="preserve">9.响应文件的语言及度量衡单位</w:t>
      </w:r>
      <w:bookmarkEnd w:id="82"/>
      <w:r/>
      <w:bookmarkEnd w:id="83"/>
      <w:r/>
      <w:bookmarkEnd w:id="84"/>
      <w:r/>
      <w:bookmarkEnd w:id="85"/>
      <w:r/>
      <w:r/>
    </w:p>
    <w:p>
      <w:pPr>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sz w:val="28"/>
          <w:szCs w:val="28"/>
        </w:rPr>
        <w:outlineLvl w:val="3"/>
      </w:pPr>
      <w:r/>
      <w:bookmarkStart w:id="86" w:name="_Toc20823287"/>
      <w:r/>
      <w:bookmarkStart w:id="87" w:name="_Toc462564074"/>
      <w:r/>
      <w:bookmarkStart w:id="88" w:name="_Toc513029215"/>
      <w:r/>
      <w:bookmarkStart w:id="89" w:name="_Toc16938531"/>
      <w:r>
        <w:rPr>
          <w:rFonts w:hint="eastAsia" w:ascii="宋体" w:hAnsi="宋体" w:cs="Arial"/>
          <w:sz w:val="28"/>
          <w:szCs w:val="28"/>
        </w:rPr>
        <w:t xml:space="preserve">10.响应文件构成</w:t>
      </w:r>
      <w:bookmarkEnd w:id="86"/>
      <w:r/>
      <w:bookmarkEnd w:id="87"/>
      <w:r/>
      <w:bookmarkEnd w:id="88"/>
      <w:r/>
      <w:bookmarkEnd w:id="89"/>
      <w:r/>
      <w:r/>
    </w:p>
    <w:p>
      <w:pPr>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sz w:val="28"/>
          <w:szCs w:val="28"/>
        </w:rPr>
        <w:outlineLvl w:val="3"/>
      </w:pPr>
      <w:r/>
      <w:bookmarkStart w:id="90" w:name="_Hlt26954838"/>
      <w:r/>
      <w:bookmarkEnd w:id="90"/>
      <w:r/>
      <w:bookmarkStart w:id="91" w:name="_Hlt26668975"/>
      <w:r/>
      <w:bookmarkEnd w:id="91"/>
      <w:r/>
      <w:bookmarkStart w:id="92" w:name="_Hlt26670360"/>
      <w:r/>
      <w:bookmarkEnd w:id="92"/>
      <w:r/>
      <w:bookmarkStart w:id="93" w:name="_Toc513029216"/>
      <w:r/>
      <w:bookmarkStart w:id="94" w:name="_Toc14577357"/>
      <w:r/>
      <w:bookmarkStart w:id="95" w:name="_Toc14577354"/>
      <w:r/>
      <w:bookmarkStart w:id="96" w:name="_Toc49090509"/>
      <w:r/>
      <w:bookmarkStart w:id="97" w:name="_Toc513029219"/>
      <w:r/>
      <w:bookmarkStart w:id="98" w:name="_Toc49090507"/>
      <w:r/>
      <w:bookmarkStart w:id="99" w:name="_Toc14577355"/>
      <w:r/>
      <w:bookmarkStart w:id="100" w:name="_Toc49090508"/>
      <w:r>
        <w:rPr>
          <w:rFonts w:hint="eastAsia" w:ascii="宋体" w:hAnsi="宋体" w:cs="Arial"/>
          <w:sz w:val="28"/>
          <w:szCs w:val="28"/>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12.分项报价表</w:t>
      </w:r>
      <w:r/>
    </w:p>
    <w:p>
      <w:pPr>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spacing w:line="520" w:lineRule="exact"/>
        <w:rPr>
          <w:rFonts w:hint="eastAsia" w:ascii="宋体" w:hAnsi="宋体" w:cs="Arial"/>
          <w:sz w:val="28"/>
          <w:szCs w:val="28"/>
        </w:rPr>
        <w:outlineLvl w:val="3"/>
      </w:pPr>
      <w:r/>
      <w:bookmarkStart w:id="101" w:name="_Hlt26670486"/>
      <w:r/>
      <w:bookmarkEnd w:id="101"/>
      <w:r/>
      <w:bookmarkStart w:id="102" w:name="_Hlt26954731"/>
      <w:r/>
      <w:bookmarkEnd w:id="102"/>
      <w:r/>
      <w:bookmarkStart w:id="103" w:name="_Hlt26954848"/>
      <w:r/>
      <w:bookmarkEnd w:id="103"/>
      <w:r/>
      <w:bookmarkStart w:id="104" w:name="_Hlt26670482"/>
      <w:r/>
      <w:bookmarkEnd w:id="104"/>
      <w:r/>
      <w:bookmarkStart w:id="105" w:name="_Hlt26954846"/>
      <w:r/>
      <w:bookmarkEnd w:id="105"/>
      <w:r>
        <w:rPr>
          <w:rFonts w:hint="eastAsia" w:ascii="宋体" w:hAnsi="宋体" w:cs="Arial"/>
          <w:sz w:val="28"/>
          <w:szCs w:val="28"/>
        </w:rPr>
        <w:t xml:space="preserve">13.技术要求响应及偏离表、商务要求响应及偏离表</w:t>
      </w:r>
      <w:r/>
    </w:p>
    <w:p>
      <w:pPr>
        <w:ind w:firstLine="480"/>
        <w:spacing w:line="52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ind w:firstLine="420"/>
        <w:keepLines/>
        <w:keepNext/>
        <w:spacing w:line="520" w:lineRule="exact"/>
        <w:rPr>
          <w:rFonts w:hint="eastAsia" w:ascii="宋体" w:hAnsi="宋体" w:cs="Arial"/>
          <w:sz w:val="28"/>
          <w:szCs w:val="28"/>
        </w:rPr>
        <w:outlineLvl w:val="3"/>
      </w:pPr>
      <w:r/>
      <w:bookmarkStart w:id="106" w:name="_Toc14577359"/>
      <w:r/>
      <w:bookmarkStart w:id="107" w:name="_Toc49090510"/>
      <w:r>
        <w:rPr>
          <w:rFonts w:hint="eastAsia" w:ascii="宋体" w:hAnsi="宋体" w:cs="Arial"/>
          <w:sz w:val="28"/>
          <w:szCs w:val="28"/>
        </w:rPr>
        <w:t xml:space="preserve">15.磋商响应函</w:t>
      </w:r>
      <w:r/>
    </w:p>
    <w:p>
      <w:pPr>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sz w:val="28"/>
          <w:szCs w:val="28"/>
        </w:rPr>
        <w:outlineLvl w:val="3"/>
      </w:pPr>
      <w:r/>
      <w:bookmarkStart w:id="108" w:name="_Toc14577360"/>
      <w:r/>
      <w:bookmarkStart w:id="109" w:name="_Toc49090511"/>
      <w:r>
        <w:rPr>
          <w:rFonts w:hint="eastAsia" w:ascii="宋体" w:hAnsi="宋体" w:cs="Arial"/>
          <w:sz w:val="28"/>
          <w:szCs w:val="28"/>
        </w:rPr>
        <w:t xml:space="preserve">16.磋商有效期</w:t>
      </w:r>
      <w:bookmarkEnd w:id="108"/>
      <w:r/>
      <w:bookmarkEnd w:id="109"/>
      <w:r/>
      <w:r/>
    </w:p>
    <w:p>
      <w:pPr>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宋体" w:hAnsi="宋体"/>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keepLines/>
        <w:keepNext/>
        <w:spacing w:line="520" w:lineRule="exact"/>
        <w:rPr>
          <w:rFonts w:hint="eastAsia" w:ascii="宋体" w:hAnsi="宋体"/>
          <w:b/>
          <w:bCs/>
          <w:sz w:val="32"/>
          <w:szCs w:val="32"/>
        </w:rPr>
        <w:outlineLvl w:val="2"/>
      </w:pPr>
      <w:r/>
      <w:bookmarkStart w:id="110" w:name="_Hlt26954739"/>
      <w:r/>
      <w:bookmarkEnd w:id="110"/>
      <w:r/>
      <w:bookmarkStart w:id="111" w:name="_Hlt26954852"/>
      <w:r/>
      <w:bookmarkEnd w:id="111"/>
      <w:r/>
      <w:bookmarkStart w:id="112" w:name="_Toc16938540"/>
      <w:r/>
      <w:bookmarkStart w:id="113" w:name="_Toc20823296"/>
      <w:r/>
      <w:bookmarkStart w:id="114" w:name="_Toc120614217"/>
      <w:r/>
      <w:bookmarkStart w:id="115" w:name="_Toc513029224"/>
      <w:r>
        <w:rPr>
          <w:rFonts w:hint="eastAsia" w:ascii="宋体" w:hAnsi="宋体"/>
          <w:b/>
          <w:bCs/>
          <w:sz w:val="32"/>
          <w:szCs w:val="32"/>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sz w:val="28"/>
          <w:szCs w:val="28"/>
        </w:rPr>
        <w:outlineLvl w:val="3"/>
      </w:pPr>
      <w:r/>
      <w:bookmarkStart w:id="116" w:name="_Toc16938541"/>
      <w:r/>
      <w:bookmarkStart w:id="117" w:name="_Toc513029225"/>
      <w:r/>
      <w:bookmarkStart w:id="118" w:name="_Toc20823297"/>
      <w:r/>
      <w:bookmarkStart w:id="119" w:name="_Toc462564084"/>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116"/>
      <w:r/>
      <w:bookmarkEnd w:id="117"/>
      <w:r/>
      <w:bookmarkEnd w:id="118"/>
      <w:r/>
      <w:bookmarkEnd w:id="119"/>
      <w:r>
        <w:rPr>
          <w:rFonts w:hint="eastAsia" w:ascii="宋体" w:hAnsi="宋体" w:cs="Arial"/>
          <w:sz w:val="28"/>
          <w:szCs w:val="28"/>
        </w:rPr>
        <w:t xml:space="preserve">响应文件的递交</w:t>
      </w:r>
      <w:r/>
    </w:p>
    <w:p>
      <w:pPr>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
    </w:p>
    <w:p>
      <w:pPr>
        <w:ind w:firstLine="560"/>
        <w:keepLines/>
        <w:keepNext/>
        <w:spacing w:line="52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20"/>
      <w:r/>
      <w:bookmarkEnd w:id="121"/>
      <w:r/>
      <w:bookmarkEnd w:id="122"/>
      <w:r/>
      <w:r/>
    </w:p>
    <w:p>
      <w:pPr>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sz w:val="28"/>
          <w:szCs w:val="28"/>
        </w:rPr>
        <w:outlineLvl w:val="3"/>
      </w:pPr>
      <w:r/>
      <w:bookmarkStart w:id="123" w:name="_Toc20823299"/>
      <w:r/>
      <w:bookmarkStart w:id="124" w:name="_Toc513029227"/>
      <w:r/>
      <w:bookmarkStart w:id="125" w:name="_Toc16938543"/>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123"/>
      <w:r/>
      <w:bookmarkEnd w:id="124"/>
      <w:r/>
      <w:bookmarkEnd w:id="125"/>
      <w:r>
        <w:rPr>
          <w:rFonts w:hint="eastAsia" w:ascii="宋体" w:hAnsi="宋体" w:cs="Arial"/>
          <w:sz w:val="28"/>
          <w:szCs w:val="28"/>
        </w:rPr>
        <w:t xml:space="preserve">的拒收</w:t>
      </w:r>
      <w:r/>
    </w:p>
    <w:p>
      <w:pPr>
        <w:ind w:firstLine="480"/>
        <w:spacing w:line="52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sz w:val="28"/>
          <w:szCs w:val="28"/>
        </w:rPr>
        <w:outlineLvl w:val="3"/>
      </w:pPr>
      <w:r/>
      <w:bookmarkStart w:id="126" w:name="_Toc16938544"/>
      <w:r/>
      <w:bookmarkStart w:id="127" w:name="_Toc20823300"/>
      <w:r/>
      <w:bookmarkStart w:id="128" w:name="_Toc513029228"/>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126"/>
      <w:r/>
      <w:bookmarkEnd w:id="127"/>
      <w:r/>
      <w:bookmarkEnd w:id="128"/>
      <w:r/>
      <w:r/>
    </w:p>
    <w:p>
      <w:pPr>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sz w:val="32"/>
          <w:szCs w:val="32"/>
        </w:rPr>
        <w:outlineLvl w:val="2"/>
      </w:pPr>
      <w:r/>
      <w:bookmarkStart w:id="129" w:name="_Toc16938545"/>
      <w:r/>
      <w:bookmarkStart w:id="130" w:name="_Toc120614218"/>
      <w:r/>
      <w:bookmarkStart w:id="131" w:name="_Toc20823301"/>
      <w:r/>
      <w:bookmarkStart w:id="132" w:name="_Toc513029229"/>
      <w:r>
        <w:rPr>
          <w:rFonts w:hint="eastAsia" w:ascii="宋体" w:hAnsi="宋体"/>
          <w:b/>
          <w:bCs/>
          <w:sz w:val="32"/>
          <w:szCs w:val="32"/>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sz w:val="28"/>
          <w:szCs w:val="28"/>
        </w:rPr>
        <w:outlineLvl w:val="3"/>
      </w:pPr>
      <w:r/>
      <w:bookmarkStart w:id="133" w:name="_Toc16938546"/>
      <w:r/>
      <w:bookmarkStart w:id="134" w:name="_Toc20823302"/>
      <w:r/>
      <w:bookmarkStart w:id="135" w:name="_Toc513029230"/>
      <w:r>
        <w:rPr>
          <w:rFonts w:hint="eastAsia" w:ascii="宋体" w:hAnsi="宋体" w:cs="Arial"/>
          <w:sz w:val="28"/>
          <w:szCs w:val="28"/>
        </w:rPr>
        <w:t xml:space="preserve">22</w:t>
      </w:r>
      <w:bookmarkEnd w:id="133"/>
      <w:r/>
      <w:bookmarkEnd w:id="134"/>
      <w:r/>
      <w:bookmarkEnd w:id="135"/>
      <w:r>
        <w:rPr>
          <w:rFonts w:hint="eastAsia" w:ascii="宋体" w:hAnsi="宋体" w:cs="Arial"/>
          <w:sz w:val="28"/>
          <w:szCs w:val="28"/>
        </w:rPr>
        <w:t xml:space="preserve">.响应文件解密</w:t>
      </w:r>
      <w:r/>
    </w:p>
    <w:p>
      <w:pPr>
        <w:ind w:firstLine="360"/>
        <w:spacing w:line="52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sz w:val="28"/>
          <w:szCs w:val="28"/>
        </w:rPr>
        <w:outlineLvl w:val="3"/>
      </w:pPr>
      <w:r/>
      <w:bookmarkStart w:id="136" w:name="_Toc16938547"/>
      <w:r/>
      <w:bookmarkStart w:id="137" w:name="_Toc20823303"/>
      <w:r/>
      <w:bookmarkStart w:id="138"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136"/>
      <w:r/>
      <w:bookmarkEnd w:id="137"/>
      <w:r/>
      <w:bookmarkEnd w:id="138"/>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p>
    <w:p>
      <w:pPr>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sz w:val="28"/>
          <w:szCs w:val="28"/>
        </w:rPr>
        <w:outlineLvl w:val="3"/>
      </w:pPr>
      <w:r/>
      <w:bookmarkStart w:id="139" w:name="_Toc20823304"/>
      <w:r/>
      <w:bookmarkStart w:id="140" w:name="_Toc513029232"/>
      <w:r/>
      <w:bookmarkStart w:id="141" w:name="_Toc16938548"/>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139"/>
      <w:r/>
      <w:bookmarkEnd w:id="140"/>
      <w:r/>
      <w:bookmarkEnd w:id="141"/>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sz w:val="28"/>
          <w:szCs w:val="28"/>
        </w:rPr>
        <w:outlineLvl w:val="3"/>
      </w:pPr>
      <w:r/>
      <w:bookmarkStart w:id="142" w:name="_Toc20823305"/>
      <w:r/>
      <w:bookmarkStart w:id="143" w:name="_Toc16938549"/>
      <w:r/>
      <w:bookmarkStart w:id="144" w:name="_Toc513029233"/>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142"/>
      <w:r/>
      <w:bookmarkEnd w:id="143"/>
      <w:r/>
      <w:bookmarkEnd w:id="144"/>
      <w:r>
        <w:rPr>
          <w:rFonts w:hint="eastAsia" w:ascii="宋体" w:hAnsi="宋体" w:cs="Arial"/>
          <w:sz w:val="28"/>
          <w:szCs w:val="28"/>
        </w:rPr>
        <w:t xml:space="preserve">查</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20" w:lineRule="exact"/>
        <w:rPr>
          <w:rFonts w:hint="eastAsia" w:ascii="宋体" w:hAnsi="宋体"/>
          <w:sz w:val="24"/>
          <w:szCs w:val="21"/>
        </w:rPr>
      </w:pPr>
      <w:r/>
      <w:bookmarkStart w:id="145" w:name="_Toc513029234"/>
      <w:r/>
      <w:bookmarkStart w:id="146" w:name="_Toc16938550"/>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bookmarkEnd w:id="145"/>
      <w:r/>
      <w:bookmarkEnd w:id="146"/>
      <w:r/>
      <w:bookmarkEnd w:id="147"/>
      <w:r>
        <w:rPr>
          <w:rFonts w:hint="eastAsia" w:ascii="宋体" w:hAnsi="宋体" w:cs="Arial"/>
          <w:sz w:val="28"/>
          <w:szCs w:val="28"/>
        </w:rPr>
        <w:t xml:space="preserve">.磋商程序及评审方法和评审标准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keepLines/>
        <w:keepNext/>
        <w:spacing w:line="520" w:lineRule="exact"/>
        <w:rPr>
          <w:rFonts w:hint="eastAsia" w:ascii="宋体" w:hAnsi="宋体"/>
          <w:b/>
          <w:bCs/>
          <w:sz w:val="32"/>
          <w:szCs w:val="32"/>
        </w:rPr>
        <w:outlineLvl w:val="2"/>
      </w:pPr>
      <w:r/>
      <w:bookmarkStart w:id="148" w:name="_Toc16938551"/>
      <w:r/>
      <w:bookmarkStart w:id="149" w:name="_Toc513029235"/>
      <w:r/>
      <w:bookmarkStart w:id="150" w:name="_Toc20823307"/>
      <w:r/>
      <w:bookmarkStart w:id="151" w:name="_Toc120614219"/>
      <w:r>
        <w:rPr>
          <w:rFonts w:hint="eastAsia" w:ascii="宋体" w:hAnsi="宋体"/>
          <w:b/>
          <w:bCs/>
          <w:sz w:val="32"/>
          <w:szCs w:val="32"/>
        </w:rPr>
        <w:t xml:space="preserve">六、</w:t>
      </w:r>
      <w:bookmarkEnd w:id="148"/>
      <w:r/>
      <w:bookmarkEnd w:id="149"/>
      <w:r/>
      <w:bookmarkEnd w:id="150"/>
      <w:r/>
      <w:bookmarkEnd w:id="151"/>
      <w:r>
        <w:rPr>
          <w:rFonts w:hint="eastAsia" w:ascii="宋体" w:hAnsi="宋体"/>
          <w:b/>
          <w:bCs/>
          <w:sz w:val="32"/>
          <w:szCs w:val="32"/>
        </w:rPr>
        <w:t xml:space="preserve">成交</w:t>
      </w:r>
      <w:r/>
    </w:p>
    <w:p>
      <w:pPr>
        <w:ind w:firstLine="600"/>
        <w:keepLines/>
        <w:keepNext/>
        <w:spacing w:line="520" w:lineRule="exact"/>
        <w:rPr>
          <w:rFonts w:hint="eastAsia" w:ascii="宋体" w:hAnsi="宋体"/>
          <w:bCs/>
          <w:sz w:val="30"/>
          <w:szCs w:val="30"/>
        </w:rPr>
        <w:outlineLvl w:val="3"/>
      </w:pPr>
      <w:r/>
      <w:bookmarkStart w:id="152" w:name="_Toc513029238"/>
      <w:r/>
      <w:bookmarkStart w:id="153" w:name="_Toc16938554"/>
      <w:r/>
      <w:bookmarkStart w:id="154" w:name="_Toc20823310"/>
      <w:r>
        <w:rPr>
          <w:rFonts w:hint="eastAsia" w:ascii="宋体" w:hAnsi="宋体"/>
          <w:bCs/>
          <w:sz w:val="30"/>
          <w:szCs w:val="30"/>
        </w:rPr>
        <w:t xml:space="preserve">2</w:t>
      </w:r>
      <w:r>
        <w:rPr>
          <w:rFonts w:ascii="宋体" w:hAnsi="宋体"/>
          <w:bCs/>
          <w:sz w:val="30"/>
          <w:szCs w:val="30"/>
        </w:rPr>
        <w:t xml:space="preserve">8</w:t>
      </w:r>
      <w:bookmarkEnd w:id="152"/>
      <w:r>
        <w:rPr>
          <w:rFonts w:hint="eastAsia" w:ascii="宋体" w:hAnsi="宋体"/>
          <w:bCs/>
          <w:sz w:val="30"/>
          <w:szCs w:val="30"/>
        </w:rPr>
        <w:t xml:space="preserve">.确定</w:t>
      </w:r>
      <w:bookmarkEnd w:id="153"/>
      <w:r/>
      <w:bookmarkEnd w:id="154"/>
      <w:r>
        <w:rPr>
          <w:rFonts w:hint="eastAsia" w:ascii="宋体" w:hAnsi="宋体"/>
          <w:bCs/>
          <w:sz w:val="30"/>
          <w:szCs w:val="30"/>
        </w:rPr>
        <w:t xml:space="preserve">成交单位</w:t>
      </w:r>
      <w:r/>
    </w:p>
    <w:p>
      <w:pPr>
        <w:ind w:firstLine="478"/>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p>
    <w:p>
      <w:pPr>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p>
    <w:p>
      <w:pPr>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p>
    <w:p>
      <w:pPr>
        <w:ind w:firstLine="600"/>
        <w:keepLines/>
        <w:keepNext/>
        <w:spacing w:line="520" w:lineRule="exact"/>
        <w:rPr>
          <w:rFonts w:hint="eastAsia" w:ascii="宋体" w:hAnsi="宋体"/>
          <w:bCs/>
          <w:sz w:val="30"/>
          <w:szCs w:val="30"/>
        </w:rPr>
        <w:outlineLvl w:val="3"/>
      </w:pPr>
      <w:r/>
      <w:bookmarkStart w:id="155" w:name="_Toc200451960"/>
      <w:r>
        <w:rPr>
          <w:rFonts w:ascii="宋体" w:hAnsi="宋体"/>
          <w:bCs/>
          <w:sz w:val="30"/>
          <w:szCs w:val="30"/>
        </w:rPr>
        <w:t xml:space="preserve">29</w:t>
      </w:r>
      <w:r>
        <w:rPr>
          <w:rFonts w:hint="eastAsia" w:ascii="宋体" w:hAnsi="宋体"/>
          <w:bCs/>
          <w:sz w:val="30"/>
          <w:szCs w:val="30"/>
        </w:rPr>
        <w:t xml:space="preserve">.质疑处理</w:t>
      </w:r>
      <w:bookmarkEnd w:id="155"/>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sz w:val="24"/>
          <w:szCs w:val="24"/>
        </w:rPr>
        <w:t xml:space="preserve">采购人或采购代理机构</w:t>
      </w:r>
      <w:r>
        <w:rPr>
          <w:rFonts w:hint="eastAsia" w:ascii="宋体" w:hAnsi="宋体"/>
          <w:sz w:val="24"/>
          <w:szCs w:val="24"/>
        </w:rPr>
        <w:t xml:space="preserve">提出质疑。上述应知其权益受到损害之日，是指：</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宋体" w:hAnsi="宋体" w:cs="宋体"/>
          <w:sz w:val="24"/>
          <w:szCs w:val="24"/>
        </w:rPr>
        <w:t xml:space="preserve">对采购过程提出质疑的，为各采购程序环节结束之日</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宋体" w:hAnsi="宋体" w:cs="宋体"/>
          <w:sz w:val="24"/>
          <w:szCs w:val="24"/>
        </w:rPr>
        <w:t xml:space="preserve">对成交结果提出质疑的，为成交结果公告期限届满之日。</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.5.3以传真、电子邮件等方式递交的非原件形式的质疑。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sz w:val="32"/>
          <w:szCs w:val="32"/>
        </w:rPr>
        <w:outlineLvl w:val="2"/>
      </w:pPr>
      <w:r/>
      <w:bookmarkStart w:id="156" w:name="_Toc513029236"/>
      <w:r/>
      <w:bookmarkStart w:id="157" w:name="_Toc16938552"/>
      <w:r/>
      <w:bookmarkStart w:id="158" w:name="_Toc120614220"/>
      <w:r/>
      <w:bookmarkStart w:id="159" w:name="_Toc20823308"/>
      <w:r>
        <w:rPr>
          <w:rFonts w:hint="eastAsia" w:ascii="宋体" w:hAnsi="宋体"/>
          <w:b/>
          <w:bCs/>
          <w:sz w:val="32"/>
          <w:szCs w:val="32"/>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sz w:val="30"/>
          <w:szCs w:val="30"/>
        </w:rPr>
        <w:outlineLvl w:val="3"/>
      </w:pPr>
      <w:r/>
      <w:bookmarkStart w:id="160" w:name="_Toc20823309"/>
      <w:r/>
      <w:bookmarkStart w:id="161" w:name="_Toc16938553"/>
      <w:r/>
      <w:bookmarkStart w:id="162" w:name="_Toc513029237"/>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.签订合同</w:t>
      </w:r>
      <w:r/>
    </w:p>
    <w:p>
      <w:pPr>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sz w:val="30"/>
          <w:szCs w:val="30"/>
        </w:rPr>
        <w:outlineLvl w:val="3"/>
      </w:pPr>
      <w:r/>
      <w:bookmarkStart w:id="163" w:name="_Toc513029242"/>
      <w:r/>
      <w:bookmarkStart w:id="164" w:name="_Toc120614221"/>
      <w:r/>
      <w:bookmarkStart w:id="165" w:name="_Toc479757207"/>
      <w:r/>
      <w:bookmarkStart w:id="166" w:name="_Toc16938558"/>
      <w:r/>
      <w:bookmarkStart w:id="167" w:name="_Toc20823314"/>
      <w:r>
        <w:rPr>
          <w:rFonts w:hint="eastAsia" w:ascii="宋体" w:hAnsi="宋体"/>
          <w:bCs/>
          <w:sz w:val="30"/>
          <w:szCs w:val="30"/>
        </w:rPr>
        <w:t xml:space="preserve">3</w:t>
      </w:r>
      <w:r>
        <w:rPr>
          <w:rFonts w:ascii="宋体" w:hAnsi="宋体"/>
          <w:bCs/>
          <w:sz w:val="30"/>
          <w:szCs w:val="30"/>
        </w:rPr>
        <w:t xml:space="preserve">3</w:t>
      </w:r>
      <w:r>
        <w:rPr>
          <w:rFonts w:hint="eastAsia" w:ascii="宋体" w:hAnsi="宋体"/>
          <w:bCs/>
          <w:sz w:val="30"/>
          <w:szCs w:val="30"/>
        </w:rPr>
        <w:t xml:space="preserve">.政府采购履约资金扶持政策</w:t>
      </w:r>
      <w:r/>
    </w:p>
    <w:p>
      <w:pPr>
        <w:ind w:firstLine="555"/>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20823346"/>
      <w:r/>
      <w:bookmarkStart w:id="170" w:name="_Toc16938590"/>
      <w:r/>
      <w:bookmarkStart w:id="171" w:name="_Toc120614244"/>
      <w:r/>
      <w:r/>
    </w:p>
    <w:p>
      <w:pPr>
        <w:ind w:firstLine="555"/>
        <w:spacing w:line="520" w:lineRule="exact"/>
        <w:rPr>
          <w:rFonts w:hint="eastAsia" w:ascii="宋体" w:hAnsi="宋体"/>
          <w:bCs/>
          <w:sz w:val="24"/>
          <w:szCs w:val="24"/>
        </w:rPr>
      </w:pPr>
      <w:r>
        <w:rPr>
          <w:rFonts w:hint="eastAsia" w:ascii="宋体" w:hAnsi="宋体"/>
          <w:bCs/>
          <w:sz w:val="24"/>
          <w:szCs w:val="24"/>
        </w:rPr>
      </w:r>
      <w:r/>
    </w:p>
    <w:p>
      <w:pPr>
        <w:ind w:firstLine="555"/>
        <w:spacing w:line="520" w:lineRule="exact"/>
        <w:rPr>
          <w:rFonts w:hint="eastAsia" w:ascii="宋体" w:hAnsi="宋体"/>
          <w:bCs/>
          <w:sz w:val="24"/>
          <w:szCs w:val="24"/>
        </w:rPr>
      </w:pPr>
      <w:r>
        <w:rPr>
          <w:rFonts w:hint="eastAsia" w:ascii="宋体" w:hAnsi="宋体"/>
          <w:bCs/>
          <w:sz w:val="24"/>
          <w:szCs w:val="24"/>
        </w:rPr>
      </w:r>
      <w:r/>
    </w:p>
    <w:p>
      <w:pPr>
        <w:ind w:firstLine="555"/>
        <w:spacing w:line="520" w:lineRule="exact"/>
        <w:rPr>
          <w:rFonts w:hint="eastAsia" w:ascii="宋体" w:hAnsi="宋体"/>
          <w:bCs/>
          <w:sz w:val="24"/>
          <w:szCs w:val="24"/>
        </w:rPr>
      </w:pPr>
      <w:r>
        <w:rPr>
          <w:rFonts w:hint="eastAsia" w:ascii="宋体" w:hAnsi="宋体"/>
          <w:bCs/>
          <w:sz w:val="24"/>
          <w:szCs w:val="24"/>
        </w:rPr>
      </w:r>
      <w:r/>
    </w:p>
    <w:p>
      <w:pPr>
        <w:jc w:val="center"/>
        <w:spacing w:line="560" w:lineRule="exact"/>
        <w:rPr>
          <w:rFonts w:hint="eastAsia" w:ascii="宋体" w:hAnsi="宋体" w:cs="Courier New"/>
          <w:bCs/>
          <w:sz w:val="44"/>
          <w:szCs w:val="21"/>
        </w:rPr>
      </w:pPr>
      <w:r>
        <w:rPr>
          <w:rFonts w:hint="eastAsia" w:ascii="宋体" w:hAnsi="宋体" w:cs="Courier New"/>
          <w:bCs/>
          <w:sz w:val="44"/>
          <w:szCs w:val="21"/>
        </w:rPr>
        <w:br w:type="page" w:clear="all"/>
      </w:r>
      <w:r>
        <w:rPr>
          <w:rFonts w:hint="eastAsia" w:ascii="宋体" w:hAnsi="宋体" w:cs="Courier New"/>
          <w:bCs/>
          <w:sz w:val="44"/>
          <w:szCs w:val="21"/>
        </w:rPr>
        <w:t xml:space="preserve">第</w:t>
      </w:r>
      <w:bookmarkEnd w:id="168"/>
      <w:r>
        <w:rPr>
          <w:rFonts w:hint="eastAsia" w:ascii="宋体" w:hAnsi="宋体" w:cs="Courier New"/>
          <w:bCs/>
          <w:sz w:val="44"/>
          <w:szCs w:val="21"/>
        </w:rPr>
        <w:t xml:space="preserve">三章 采购需求</w:t>
      </w:r>
      <w:bookmarkEnd w:id="169"/>
      <w:r/>
      <w:bookmarkEnd w:id="170"/>
      <w:r/>
      <w:bookmarkEnd w:id="171"/>
      <w:r/>
      <w:r/>
    </w:p>
    <w:p>
      <w:pPr>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项目属性：货物类项目</w:t>
      </w:r>
      <w:r/>
    </w:p>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ind w:firstLine="480"/>
        <w:spacing w:line="560" w:lineRule="exact"/>
        <w:rPr>
          <w:rFonts w:hint="eastAsia" w:ascii="仿宋" w:hAnsi="仿宋" w:eastAsia="仿宋" w:cs="仿宋_GB2312"/>
          <w:b/>
          <w:sz w:val="28"/>
          <w:szCs w:val="28"/>
          <w:lang w:val="en-US" w:eastAsia="zh-CN"/>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一、采购标的需实现的功能或者目标，以及为落实政府采购政策需满足的要求：</w:t>
      </w:r>
      <w:r/>
    </w:p>
    <w:p>
      <w:pPr>
        <w:ind w:firstLine="480"/>
        <w:spacing w:line="560" w:lineRule="exact"/>
        <w:rPr>
          <w:rFonts w:hint="eastAsia" w:ascii="Times New Roman" w:hAnsi="Times New Roman"/>
          <w:sz w:val="24"/>
          <w:szCs w:val="24"/>
        </w:rPr>
      </w:pPr>
      <w:r>
        <w:rPr>
          <w:rFonts w:hint="eastAsia"/>
          <w:sz w:val="24"/>
          <w:szCs w:val="24"/>
          <w:lang w:val="en-US" w:eastAsia="zh-CN"/>
        </w:rPr>
        <w:t xml:space="preserve">为</w:t>
      </w:r>
      <w:r>
        <w:rPr>
          <w:rFonts w:hint="eastAsia" w:ascii="Times New Roman" w:hAnsi="Times New Roman"/>
          <w:sz w:val="24"/>
          <w:szCs w:val="24"/>
        </w:rPr>
        <w:t xml:space="preserve">加强和规范全市高层住宅小区消防快速处置队建设，提高初期火灾扑救能力，根据《中华人民共和国消防法》《物业管理条例》《江苏省消防条例》《江苏省住宅物业消防安全管理规定》等法律法规以及省消防救援总队研究制定的《江苏省住宅小区消防快速处置队建设工作指导意见（试行）》，结合我市高层住宅小区实际，</w:t>
      </w:r>
      <w:r>
        <w:rPr>
          <w:rFonts w:hint="eastAsia"/>
          <w:sz w:val="24"/>
          <w:szCs w:val="24"/>
          <w:lang w:val="en-US" w:eastAsia="zh-CN"/>
        </w:rPr>
        <w:t xml:space="preserve">需采购全市高层住宅小区快速处置队配备装备</w:t>
      </w:r>
      <w:r>
        <w:rPr>
          <w:rFonts w:hint="eastAsia" w:ascii="Times New Roman" w:hAnsi="Times New Roman"/>
          <w:sz w:val="24"/>
          <w:szCs w:val="24"/>
        </w:rPr>
        <w:t xml:space="preserve">。</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二、采购标的需执行的国家相关标准、行业标准、地方标准或者其他标准、规范：</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参考国家标准、行业标准，随着标准的修订，根据修订后的最新标准作为依据。除上述规范标准以外，还须遵循国家、行业及地方现行的相关规范和标准要求。</w:t>
      </w:r>
      <w:r/>
    </w:p>
    <w:p>
      <w:pPr>
        <w:numPr>
          <w:ilvl w:val="0"/>
          <w:numId w:val="2"/>
        </w:num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采购标的需满足的质量、安全、技术规格、物理特性等要求：</w:t>
      </w:r>
      <w:r/>
    </w:p>
    <w:p>
      <w:pPr>
        <w:rPr>
          <w:rFonts w:hint="eastAsia"/>
          <w:b/>
          <w:bCs/>
          <w:sz w:val="44"/>
          <w:szCs w:val="44"/>
          <w:lang w:val="en-US" w:eastAsia="zh-CN"/>
        </w:rPr>
      </w:pPr>
      <w:r>
        <w:rPr>
          <w:rFonts w:hint="eastAsia"/>
          <w:b/>
          <w:bCs/>
          <w:sz w:val="24"/>
          <w:szCs w:val="24"/>
          <w:lang w:val="en-US" w:eastAsia="zh-CN"/>
        </w:rPr>
        <w:t xml:space="preserve">消防快速处置队装备参数</w:t>
      </w:r>
      <w:r/>
    </w:p>
    <w:tbl>
      <w:tblPr>
        <w:tblStyle w:val="820"/>
        <w:tblW w:w="10402" w:type="dxa"/>
        <w:tblInd w:w="-4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125"/>
        <w:gridCol w:w="6802"/>
        <w:gridCol w:w="1650"/>
      </w:tblGrid>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6802"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参数</w:t>
            </w:r>
            <w:r/>
          </w:p>
        </w:tc>
        <w:tc>
          <w:tcPr>
            <w:tcW w:w="1650"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参考图片</w: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灭火防护服</w:t>
            </w:r>
            <w:r/>
          </w:p>
        </w:tc>
        <w:tc>
          <w:tcPr>
            <w:tcW w:w="6802" w:type="dxa"/>
            <w:textDirection w:val="lrTb"/>
            <w:noWrap w:val="false"/>
          </w:tcPr>
          <w:p>
            <w:pPr>
              <w:numPr>
                <w:ilvl w:val="0"/>
                <w:numId w:val="0"/>
              </w:numPr>
              <w:ind w:right="0"/>
              <w:jc w:val="left"/>
              <w:rPr>
                <w:rFonts w:hint="eastAsia" w:ascii="宋体" w:hAnsi="宋体" w:eastAsia="宋体" w:cs="宋体"/>
                <w:sz w:val="24"/>
                <w:szCs w:val="24"/>
                <w:highlight w:val="none"/>
              </w:rPr>
            </w:pPr>
            <w:r>
              <w:rPr>
                <w:rFonts w:hint="eastAsia" w:ascii="仿宋" w:hAnsi="仿宋" w:eastAsia="仿宋" w:cs="仿宋"/>
                <w:i w:val="0"/>
                <w:iCs w:val="0"/>
                <w:color w:val="000000"/>
                <w:sz w:val="28"/>
                <w:szCs w:val="28"/>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t xml:space="preserve">、符合XF 10-2014《消防员灭火防护服》标准；</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numPr>
                <w:ilvl w:val="0"/>
                <w:numId w:val="0"/>
              </w:numPr>
              <w:ind w:right="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整体热防护性能TPP（cal/cm²）≥29</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质量≤1.79kg</w:t>
            </w:r>
            <w:r>
              <w:rPr>
                <w:rFonts w:hint="eastAsia" w:ascii="宋体" w:hAnsi="宋体" w:cs="宋体"/>
                <w:i w:val="0"/>
                <w:iCs w:val="0"/>
                <w:color w:val="000000"/>
                <w:sz w:val="24"/>
                <w:szCs w:val="24"/>
                <w:highlight w:val="none"/>
                <w:u w:val="none"/>
                <w:lang w:val="en-US" w:eastAsia="zh-CN"/>
              </w:rPr>
              <w:t xml:space="preserve">；</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、外层面料性能要求：阻燃性能：经向损毁强度≤45mm，纬向损毁长度≤46mm，续燃时间≤2s</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 断裂强力：经向≥980N，纬向≥850N； 撕破强力：经向≥120N,纬向≥110N；接缝断裂强力：经向≥830N，纬向≥660N； 色牢度：耐洗沾色≥4级，耐水摩擦≥4级，光色牢度≥4级；缩水率：经、纬向≤1.0%；</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4、隔热层性能要求：阻燃性能：经向损毁长度≤40mm，纬向损毁长度≤38mm，续燃时间≤2s；缩水率：经、纬向≤1.1%；</w:t>
            </w:r>
            <w:r/>
          </w:p>
          <w:p>
            <w:pPr>
              <w:numPr>
                <w:ilvl w:val="0"/>
                <w:numId w:val="0"/>
              </w:numPr>
              <w:ind w:right="0"/>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5、舒适层性能要求</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 阻燃性能：经、纬向损毁长度≤47mm，续燃时间≤2s</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缩水率：经、纬向≤2%；断裂强力：经向≥402N，纬向≥370N；</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160020</wp:posOffset>
                      </wp:positionH>
                      <wp:positionV relativeFrom="paragraph">
                        <wp:posOffset>275590</wp:posOffset>
                      </wp:positionV>
                      <wp:extent cx="1111250" cy="683260"/>
                      <wp:effectExtent l="0" t="0" r="12700" b="2540"/>
                      <wp:wrapTight wrapText="bothSides">
                        <wp:wrapPolygon edited="1">
                          <wp:start x="0" y="0"/>
                          <wp:lineTo x="0" y="21078"/>
                          <wp:lineTo x="21106" y="21078"/>
                          <wp:lineTo x="21106" y="0"/>
                          <wp:lineTo x="0" y="0"/>
                        </wp:wrapPolygon>
                      </wp:wrapTight>
                      <wp:docPr id="1" name="图片 3" descr="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图片17"/>
                              <pic:cNvPicPr>
                                <a:picLocks noChangeAspect="1"/>
                              </pic:cNvPicPr>
                              <pic:nvPr/>
                            </pic:nvPicPr>
                            <pic:blipFill>
                              <a:blip r:embed="rId9"/>
                              <a:stretch/>
                            </pic:blipFill>
                            <pic:spPr bwMode="auto">
                              <a:xfrm>
                                <a:off x="0" y="0"/>
                                <a:ext cx="111125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6pt;mso-position-horizontal:absolute;mso-position-vertical-relative:text;margin-top:21.7pt;mso-position-vertical:absolute;width:87.5pt;height:53.8pt;mso-wrap-distance-left:9.0pt;mso-wrap-distance-top:0.0pt;mso-wrap-distance-right:9.0pt;mso-wrap-distance-bottom:0.0pt;" wrapcoords="0 0 0 97583 97713 97583 97713 0 0 0" stroked="f">
                      <v:path textboxrect="0,0,0,0"/>
                      <w10:wrap type="tight"/>
                      <v:imagedata r:id="rId9"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40mm消防水带</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1、符合《消防水带》GB6246-2011的要求；</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2、外层材质采用高强度涤纶长丝线，内衬聚氨酯材料；设计工作压力≥1.6MPa；水带两头均配有40口径的快速接口，水带和接口捆绑处有水带护套。</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3、爆破压力≥6.0 MPa，单位长度重量≤190g/m，水带编织层与衬里之间的附着强度≥30N/25mm，延伸率≤3%，膨胀率≤5%，扯断伸长率≥350%，扯断强度≥40MPa；</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4、水带口径为40mm，长度≥30m；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40640</wp:posOffset>
                      </wp:positionH>
                      <wp:positionV relativeFrom="paragraph">
                        <wp:posOffset>575310</wp:posOffset>
                      </wp:positionV>
                      <wp:extent cx="855980" cy="758190"/>
                      <wp:effectExtent l="0" t="0" r="1270" b="3810"/>
                      <wp:wrapTight wrapText="bothSides">
                        <wp:wrapPolygon edited="1">
                          <wp:start x="0" y="0"/>
                          <wp:lineTo x="0" y="21166"/>
                          <wp:lineTo x="21151" y="21166"/>
                          <wp:lineTo x="21151" y="0"/>
                          <wp:lineTo x="0" y="0"/>
                        </wp:wrapPolygon>
                      </wp:wrapTight>
                      <wp:docPr id="2" name="图片 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图片2"/>
                              <pic:cNvPicPr>
                                <a:picLocks noChangeAspect="1"/>
                              </pic:cNvPicPr>
                              <pic:nvPr/>
                            </pic:nvPicPr>
                            <pic:blipFill>
                              <a:blip r:embed="rId10"/>
                              <a:stretch/>
                            </pic:blipFill>
                            <pic:spPr bwMode="auto">
                              <a:xfrm>
                                <a:off x="0" y="0"/>
                                <a:ext cx="855980"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9504;o:allowoverlap:true;o:allowincell:true;mso-position-horizontal-relative:text;margin-left:3.2pt;mso-position-horizontal:absolute;mso-position-vertical-relative:text;margin-top:45.3pt;mso-position-vertical:absolute;width:67.4pt;height:59.7pt;mso-wrap-distance-left:9.0pt;mso-wrap-distance-top:0.0pt;mso-wrap-distance-right:9.0pt;mso-wrap-distance-bottom:0.0pt;" wrapcoords="0 0 0 97991 97921 97991 97921 0 0 0" stroked="f">
                      <v:path textboxrect="0,0,0,0"/>
                      <w10:wrap type="tight"/>
                      <v:imagedata r:id="rId10" o:title=""/>
                    </v:shape>
                  </w:pict>
                </mc:Fallback>
              </mc:AlternateContent>
            </w:r>
            <w:r/>
          </w:p>
        </w:tc>
      </w:tr>
      <w:tr>
        <w:trPr>
          <w:trHeight w:val="1205"/>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消火栓转换接口</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val="0"/>
                <w:iCs w:val="0"/>
                <w:color w:val="000000"/>
                <w:sz w:val="24"/>
                <w:szCs w:val="24"/>
                <w:u w:val="none"/>
                <w:lang w:val="en-US" w:eastAsia="zh-CN"/>
              </w:rPr>
              <w:t xml:space="preserve">符合 GB12514《消防接口》标准要求；</w:t>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2、使用公称压力≥2.5MPa；型号：65卡转40母。</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102870</wp:posOffset>
                      </wp:positionH>
                      <wp:positionV relativeFrom="paragraph">
                        <wp:posOffset>78105</wp:posOffset>
                      </wp:positionV>
                      <wp:extent cx="713740" cy="577850"/>
                      <wp:effectExtent l="0" t="0" r="10160" b="12700"/>
                      <wp:wrapTight wrapText="bothSides">
                        <wp:wrapPolygon edited="1">
                          <wp:start x="0" y="0"/>
                          <wp:lineTo x="0" y="20651"/>
                          <wp:lineTo x="20754" y="20651"/>
                          <wp:lineTo x="20754" y="0"/>
                          <wp:lineTo x="0" y="0"/>
                        </wp:wrapPolygon>
                      </wp:wrapTight>
                      <wp:docPr id="3" name="图片 9" descr="d47e158c5cc9237ce75e7f74f246ab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descr="d47e158c5cc9237ce75e7f74f246ab95"/>
                              <pic:cNvPicPr>
                                <a:picLocks noChangeAspect="1"/>
                              </pic:cNvPicPr>
                              <pic:nvPr/>
                            </pic:nvPicPr>
                            <pic:blipFill>
                              <a:blip r:embed="rId11"/>
                              <a:stretch/>
                            </pic:blipFill>
                            <pic:spPr bwMode="auto">
                              <a:xfrm>
                                <a:off x="0" y="0"/>
                                <a:ext cx="71374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4384;o:allowoverlap:true;o:allowincell:true;mso-position-horizontal-relative:text;margin-left:8.1pt;mso-position-horizontal:absolute;mso-position-vertical-relative:text;margin-top:6.1pt;mso-position-vertical:absolute;width:56.2pt;height:45.5pt;mso-wrap-distance-left:9.0pt;mso-wrap-distance-top:0.0pt;mso-wrap-distance-right:9.0pt;mso-wrap-distance-bottom:0.0pt;" wrapcoords="0 0 0 95606 96083 95606 96083 0 0 0" stroked="f">
                      <v:path textboxrect="0,0,0,0"/>
                      <w10:wrap type="tight"/>
                      <v:imagedata r:id="rId11"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40mm消防水枪</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1、符合GB8181-2005《消防水枪》标准；</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2、射水方式：直流、开花；</w:t>
            </w:r>
            <w:r/>
          </w:p>
          <w:p>
            <w:pP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3、通过旋转枪头实行直流和喷雾形式的转换，接口公称直径：40mm。</w:t>
            </w:r>
            <w:r/>
          </w:p>
          <w:p>
            <w:pPr>
              <w:rPr>
                <w:rFonts w:hint="eastAsia" w:ascii="宋体" w:hAnsi="宋体" w:eastAsia="宋体" w:cs="宋体"/>
                <w:i w:val="0"/>
                <w:iCs w:val="0"/>
                <w:color w:val="000000"/>
                <w:sz w:val="24"/>
                <w:szCs w:val="24"/>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u w:val="none"/>
                <w:lang w:val="en-US" w:eastAsia="zh-CN"/>
              </w:rPr>
              <w:t xml:space="preserve">4、直流流量≥6L/s，最大喷雾角时的流量≥9L/s。直流射程≥32m。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328930</wp:posOffset>
                      </wp:positionH>
                      <wp:positionV relativeFrom="paragraph">
                        <wp:posOffset>175260</wp:posOffset>
                      </wp:positionV>
                      <wp:extent cx="405765" cy="544195"/>
                      <wp:effectExtent l="0" t="0" r="8255" b="13335"/>
                      <wp:wrapNone/>
                      <wp:docPr id="4" name="图片 10" descr="296e04508b8c09322d01df766aea5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descr="296e04508b8c09322d01df766aea5221(1)"/>
                              <pic:cNvPicPr>
                                <a:picLocks noChangeAspect="1"/>
                              </pic:cNvPicPr>
                              <pic:nvPr/>
                            </pic:nvPicPr>
                            <pic:blipFill>
                              <a:blip r:embed="rId12"/>
                              <a:stretch/>
                            </pic:blipFill>
                            <pic:spPr bwMode="auto">
                              <a:xfrm rot="5400000">
                                <a:off x="0" y="0"/>
                                <a:ext cx="405765"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25.9pt;mso-position-horizontal:absolute;mso-position-vertical-relative:text;margin-top:13.8pt;mso-position-vertical:absolute;width:31.9pt;height:42.9pt;mso-wrap-distance-left:9.0pt;mso-wrap-distance-top:0.0pt;mso-wrap-distance-right:9.0pt;mso-wrap-distance-bottom:0.0pt;rotation:90;" stroked="f">
                      <v:path textboxrect="0,0,0,0"/>
                      <v:imagedata r:id="rId12"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便携式新能源灭火设备（手提式）</w:t>
            </w:r>
            <w:r/>
          </w:p>
        </w:tc>
        <w:tc>
          <w:tcPr>
            <w:tcW w:w="6802" w:type="dxa"/>
            <w:textDirection w:val="lrTb"/>
            <w:noWrap w:val="false"/>
          </w:tcPr>
          <w:p>
            <w:pPr>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1、气瓶:工作容积≥2L,额定工作压力≥28MPa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减压器：输出压力范围≥2-30MPa，输出压力≥0.6±0.4MPa。安全阀开启、关闭压力≥1.3MPa。</w:t>
            </w:r>
            <w:r/>
          </w:p>
          <w:p>
            <w:pPr>
              <w:numPr>
                <w:ilvl w:val="0"/>
                <w:numId w:val="0"/>
              </w:numPr>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、喷射距离≥10m，有效喷射时间≥50s，喷射剩余率≤2%，发泡倍数≥6.5</w:t>
            </w:r>
            <w:r>
              <w:rPr>
                <w:rFonts w:hint="eastAsia" w:ascii="宋体" w:hAnsi="宋体" w:cs="宋体"/>
                <w:color w:val="auto"/>
                <w:sz w:val="24"/>
                <w:szCs w:val="24"/>
                <w:highlight w:val="none"/>
                <w:lang w:val="en-US" w:eastAsia="zh-CN"/>
              </w:rPr>
              <w:t xml:space="preserve">；</w:t>
            </w:r>
            <w:r/>
          </w:p>
          <w:p>
            <w:pPr>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灭A类火性能≥3A，灭B类火性能≥144B。</w:t>
            </w:r>
            <w:r/>
          </w:p>
          <w:p>
            <w:pPr>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cs="宋体"/>
                <w:i w:val="0"/>
                <w:iCs w:val="0"/>
                <w:color w:val="000000"/>
                <w:sz w:val="24"/>
                <w:szCs w:val="24"/>
                <w:u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管路密封性能：灭火装置各管路组件以1.1倍的工作压力持续作用5min，在各连接处未出现渗漏现象。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管路强度性能：灭火装置内各管路组件以1.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倍的工作压力持续作用5min，无裂纹及永久变形。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提供相关证明文件资料或厂家彩页图片</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mc:AlternateContent>
                <mc:Choice Requires="wpg">
                  <w:drawing>
                    <wp:inline xmlns:wp="http://schemas.openxmlformats.org/drawingml/2006/wordprocessingDrawing" distT="0" distB="0" distL="0" distR="0">
                      <wp:extent cx="907415" cy="1200150"/>
                      <wp:effectExtent l="0" t="0" r="6985" b="0"/>
                      <wp:docPr id="5" name="图片 37" descr="ce2f1fb35f9520d572f2ed80ebda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e2f1fb35f9520d572f2ed80ebda4737"/>
                              <pic:cNvPicPr>
                                <a:picLocks noChangeAspect="1"/>
                              </pic:cNvPicPr>
                              <pic:nvPr/>
                            </pic:nvPicPr>
                            <pic:blipFill>
                              <a:blip r:embed="rId13"/>
                              <a:stretch/>
                            </pic:blipFill>
                            <pic:spPr bwMode="auto">
                              <a:xfrm>
                                <a:off x="0" y="0"/>
                                <a:ext cx="907415"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5pt;height:94.5pt;mso-wrap-distance-left:0.0pt;mso-wrap-distance-top:0.0pt;mso-wrap-distance-right:0.0pt;mso-wrap-distance-bottom:0.0pt;" stroked="false">
                      <v:path textboxrect="0,0,0,0"/>
                      <v:imagedata r:id="rId13" o:title=""/>
                    </v:shape>
                  </w:pict>
                </mc:Fallback>
              </mc:AlternateContent>
            </w:r>
            <w:r/>
          </w:p>
        </w:tc>
      </w:tr>
      <w:tr>
        <w:trPr>
          <w:trHeight w:val="1518"/>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灭火毯（电动汽车专用）</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产品材质：玻璃纤维+硅胶涂层</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2、耐火温度≥1300℃</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断裂强力（经向、纬向）≥400N；</w:t>
            </w:r>
            <w:r/>
          </w:p>
          <w:p>
            <w:pPr>
              <w:ind w:left="0" w:right="0" w:firstLine="0"/>
              <w:jc w:val="left"/>
              <w:rPr>
                <w:rFonts w:hint="eastAsia" w:ascii="宋体" w:hAnsi="宋体" w:eastAsia="宋体" w:cs="宋体"/>
                <w:sz w:val="24"/>
                <w:szCs w:val="24"/>
                <w:vertAlign w:val="baseli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3、重量≤35 kg；尺寸≥6m*9m；厚度≥0.5mm；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83820</wp:posOffset>
                      </wp:positionH>
                      <wp:positionV relativeFrom="paragraph">
                        <wp:posOffset>217805</wp:posOffset>
                      </wp:positionV>
                      <wp:extent cx="775335" cy="710565"/>
                      <wp:effectExtent l="0" t="0" r="5715" b="13335"/>
                      <wp:wrapTight wrapText="bothSides">
                        <wp:wrapPolygon edited="1">
                          <wp:start x="0" y="0"/>
                          <wp:lineTo x="0" y="20847"/>
                          <wp:lineTo x="21229" y="20847"/>
                          <wp:lineTo x="21229" y="0"/>
                          <wp:lineTo x="0" y="0"/>
                        </wp:wrapPolygon>
                      </wp:wrapTight>
                      <wp:docPr id="6" name="图片 17"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descr="图片16"/>
                              <pic:cNvPicPr>
                                <a:picLocks noChangeAspect="1"/>
                              </pic:cNvPicPr>
                              <pic:nvPr/>
                            </pic:nvPicPr>
                            <pic:blipFill>
                              <a:blip r:embed="rId14"/>
                              <a:stretch/>
                            </pic:blipFill>
                            <pic:spPr bwMode="auto">
                              <a:xfrm>
                                <a:off x="0" y="0"/>
                                <a:ext cx="775334"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6.6pt;mso-position-horizontal:absolute;mso-position-vertical-relative:text;margin-top:17.1pt;mso-position-vertical:absolute;width:61.0pt;height:55.9pt;mso-wrap-distance-left:9.0pt;mso-wrap-distance-top:0.0pt;mso-wrap-distance-right:9.0pt;mso-wrap-distance-bottom:0.0pt;" wrapcoords="0 0 0 96514 98282 96514 98282 0 0 0" stroked="f">
                      <v:path textboxrect="0,0,0,0"/>
                      <w10:wrap type="tight"/>
                      <v:imagedata r:id="rId14" o:title=""/>
                    </v:shape>
                  </w:pict>
                </mc:Fallback>
              </mc:AlternateContent>
            </w:r>
            <w:r/>
          </w:p>
        </w:tc>
      </w:tr>
      <w:tr>
        <w:trPr>
          <w:trHeight w:val="1332"/>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灭火毯（电动自行车用）</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1、产品材质：玻璃纤维+硅胶涂层</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2、耐火温度≥1300℃</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断裂强力（经向、纬向）≥400N；</w:t>
            </w:r>
            <w:r/>
          </w:p>
          <w:p>
            <w:pPr>
              <w:ind w:left="0" w:right="0" w:firstLine="0"/>
              <w:jc w:val="left"/>
              <w:rPr>
                <w:rFonts w:hint="eastAsia" w:ascii="宋体" w:hAnsi="宋体" w:eastAsia="宋体" w:cs="宋体"/>
                <w:sz w:val="24"/>
                <w:szCs w:val="24"/>
                <w:vertAlign w:val="baseli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3、重量≤30 kg(不含包装)；尺寸≥4m*5m；厚度≥0.5mm；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50165</wp:posOffset>
                      </wp:positionH>
                      <wp:positionV relativeFrom="paragraph">
                        <wp:posOffset>166370</wp:posOffset>
                      </wp:positionV>
                      <wp:extent cx="808990" cy="741045"/>
                      <wp:effectExtent l="0" t="0" r="10160" b="1905"/>
                      <wp:wrapTight wrapText="bothSides">
                        <wp:wrapPolygon edited="1">
                          <wp:start x="0" y="0"/>
                          <wp:lineTo x="0" y="21100"/>
                          <wp:lineTo x="20854" y="21100"/>
                          <wp:lineTo x="20854" y="0"/>
                          <wp:lineTo x="0" y="0"/>
                        </wp:wrapPolygon>
                      </wp:wrapTight>
                      <wp:docPr id="7" name="图片 17"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descr="图片16"/>
                              <pic:cNvPicPr>
                                <a:picLocks noChangeAspect="1"/>
                              </pic:cNvPicPr>
                              <pic:nvPr/>
                            </pic:nvPicPr>
                            <pic:blipFill>
                              <a:blip r:embed="rId14"/>
                              <a:stretch/>
                            </pic:blipFill>
                            <pic:spPr bwMode="auto">
                              <a:xfrm>
                                <a:off x="0" y="0"/>
                                <a:ext cx="808989" cy="741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3.9pt;mso-position-horizontal:absolute;mso-position-vertical-relative:text;margin-top:13.1pt;mso-position-vertical:absolute;width:63.7pt;height:58.3pt;mso-wrap-distance-left:9.0pt;mso-wrap-distance-top:0.0pt;mso-wrap-distance-right:9.0pt;mso-wrap-distance-bottom:0.0pt;" wrapcoords="0 0 0 97685 96546 97685 96546 0 0 0" stroked="f">
                      <v:path textboxrect="0,0,0,0"/>
                      <w10:wrap type="tight"/>
                      <v:imagedata r:id="rId14" o:title=""/>
                    </v:shape>
                  </w:pict>
                </mc:Fallback>
              </mc:AlternateContent>
            </w:r>
            <w:r/>
          </w:p>
        </w:tc>
      </w:tr>
      <w:tr>
        <w:trPr>
          <w:trHeight w:val="2764"/>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化学氧自救呼吸器</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1、符合XF/GA 411-2003《化学氧消防自救呼吸器》标准要求；</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2、额定防护时间≥30min；佩戴质量≤1085g；防护头罩材料抗辐射热渗透性能内表面升温≤10.5℃</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、硅胶半面罩，加厚反光头罩；</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t xml:space="preserve">贮气袋容积≥6L；防护性能二氧化碳浓度平均值：≤1.5%；防护性能氧气浓度2min内：≥17%。</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17145</wp:posOffset>
                      </wp:positionH>
                      <wp:positionV relativeFrom="paragraph">
                        <wp:posOffset>367665</wp:posOffset>
                      </wp:positionV>
                      <wp:extent cx="852805" cy="721360"/>
                      <wp:effectExtent l="0" t="0" r="4445" b="2540"/>
                      <wp:wrapTight wrapText="bothSides">
                        <wp:wrapPolygon edited="1">
                          <wp:start x="0" y="0"/>
                          <wp:lineTo x="0" y="21106"/>
                          <wp:lineTo x="21230" y="21106"/>
                          <wp:lineTo x="21230" y="0"/>
                          <wp:lineTo x="0" y="0"/>
                        </wp:wrapPolygon>
                      </wp:wrapTight>
                      <wp:docPr id="8" name="图片 19"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descr="图片3"/>
                              <pic:cNvPicPr>
                                <a:picLocks noChangeAspect="1"/>
                              </pic:cNvPicPr>
                              <pic:nvPr/>
                            </pic:nvPicPr>
                            <pic:blipFill>
                              <a:blip r:embed="rId15"/>
                              <a:stretch/>
                            </pic:blipFill>
                            <pic:spPr bwMode="auto">
                              <a:xfrm>
                                <a:off x="0" y="0"/>
                                <a:ext cx="85280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3pt;mso-position-horizontal:absolute;mso-position-vertical-relative:text;margin-top:28.9pt;mso-position-vertical:absolute;width:67.1pt;height:56.8pt;mso-wrap-distance-left:9.0pt;mso-wrap-distance-top:0.0pt;mso-wrap-distance-right:9.0pt;mso-wrap-distance-bottom:0.0pt;" wrapcoords="0 0 0 97713 98287 97713 98287 0 0 0" stroked="f">
                      <v:path textboxrect="0,0,0,0"/>
                      <w10:wrap type="tight"/>
                      <v:imagedata r:id="rId15"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室外消火栓扳手</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1、加厚锻钢板体铸造；大口径，内角设计，开启和关闭消火栓；</w:t>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、开口≥5.5CM；长度≥37CM；</w:t>
            </w:r>
            <w:r/>
          </w:p>
          <w:p>
            <w:pPr>
              <w:numPr>
                <w:ilvl w:val="0"/>
                <w:numId w:val="0"/>
              </w:numPr>
              <w:ind w:right="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-9525</wp:posOffset>
                      </wp:positionH>
                      <wp:positionV relativeFrom="paragraph">
                        <wp:posOffset>117475</wp:posOffset>
                      </wp:positionV>
                      <wp:extent cx="836295" cy="474345"/>
                      <wp:effectExtent l="0" t="0" r="1905" b="1905"/>
                      <wp:wrapTight wrapText="bothSides">
                        <wp:wrapPolygon edited="1">
                          <wp:start x="0" y="0"/>
                          <wp:lineTo x="0" y="20819"/>
                          <wp:lineTo x="21157" y="20819"/>
                          <wp:lineTo x="21157" y="0"/>
                          <wp:lineTo x="0" y="0"/>
                        </wp:wrapPolygon>
                      </wp:wrapTight>
                      <wp:docPr id="9" name="图片 24"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4" descr="图片4"/>
                              <pic:cNvPicPr>
                                <a:picLocks noChangeAspect="1"/>
                              </pic:cNvPicPr>
                              <pic:nvPr/>
                            </pic:nvPicPr>
                            <pic:blipFill>
                              <a:blip r:embed="rId16"/>
                              <a:stretch/>
                            </pic:blipFill>
                            <pic:spPr bwMode="auto">
                              <a:xfrm>
                                <a:off x="0" y="0"/>
                                <a:ext cx="83629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0.8pt;mso-position-horizontal:absolute;mso-position-vertical-relative:text;margin-top:9.2pt;mso-position-vertical:absolute;width:65.8pt;height:37.4pt;mso-wrap-distance-left:9.0pt;mso-wrap-distance-top:0.0pt;mso-wrap-distance-right:9.0pt;mso-wrap-distance-bottom:0.0pt;" wrapcoords="0 0 0 96384 97949 96384 97949 0 0 0" stroked="f">
                      <v:path textboxrect="0,0,0,0"/>
                      <w10:wrap type="tight"/>
                      <v:imagedata r:id="rId16"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伸缩捞钩</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1、伸缩捞钩是一种可调节长度、带钩头的便携捞取工具，适配打捞、清障、应急等多场景；</w:t>
            </w:r>
            <w:r/>
          </w:p>
          <w:p>
            <w:pPr>
              <w:ind w:left="0" w:right="0" w:firstLine="0"/>
              <w:jc w:val="left"/>
              <w:rPr>
                <w:rFonts w:hint="eastAsia" w:ascii="宋体" w:hAnsi="宋体" w:eastAsia="宋体" w:cs="宋体"/>
                <w:sz w:val="24"/>
                <w:szCs w:val="24"/>
                <w:highlight w:val="none"/>
                <w:vertAlign w:val="baseli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2、铝合金杆体；316不锈钢钩头；长度≥3m；节数≥3；</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-3175</wp:posOffset>
                      </wp:positionH>
                      <wp:positionV relativeFrom="paragraph">
                        <wp:posOffset>207010</wp:posOffset>
                      </wp:positionV>
                      <wp:extent cx="976630" cy="848360"/>
                      <wp:effectExtent l="0" t="0" r="13970" b="8890"/>
                      <wp:wrapTight wrapText="bothSides">
                        <wp:wrapPolygon edited="1">
                          <wp:start x="0" y="0"/>
                          <wp:lineTo x="0" y="21341"/>
                          <wp:lineTo x="21066" y="21341"/>
                          <wp:lineTo x="21066" y="0"/>
                          <wp:lineTo x="0" y="0"/>
                        </wp:wrapPolygon>
                      </wp:wrapTight>
                      <wp:docPr id="10" name="图片 25" descr="图片5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5" descr="图片5 - 副本"/>
                              <pic:cNvPicPr>
                                <a:picLocks noChangeAspect="1"/>
                              </pic:cNvPicPr>
                              <pic:nvPr/>
                            </pic:nvPicPr>
                            <pic:blipFill>
                              <a:blip r:embed="rId17"/>
                              <a:stretch/>
                            </pic:blipFill>
                            <pic:spPr bwMode="auto">
                              <a:xfrm>
                                <a:off x="0" y="0"/>
                                <a:ext cx="97663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0.2pt;mso-position-horizontal:absolute;mso-position-vertical-relative:text;margin-top:16.3pt;mso-position-vertical:absolute;width:76.9pt;height:66.8pt;mso-wrap-distance-left:9.0pt;mso-wrap-distance-top:0.0pt;mso-wrap-distance-right:9.0pt;mso-wrap-distance-bottom:0.0pt;" wrapcoords="0 0 0 98801 97528 98801 97528 0 0 0" stroked="f">
                      <v:path textboxrect="0,0,0,0"/>
                      <w10:wrap type="tight"/>
                      <v:imagedata r:id="rId17"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移车器</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结构组件:由伸缩横梁、摆臂、撬柄、万向脚轮、助力导向轮、地面保护轮、防滑支撑架、锁销等组成；每套数量：4个。</w:t>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配有万向脚轮可使汽车任意方向移动；只接触轮胎不接触汽车的车身、轮毂或底盘；</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、单个规格（mm）≤650x550x440（±5%）；</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、单个净重约：≤20公斤；单个承载重量：≥1000公斤（4个合计承载4000公斤）；</w:t>
            </w:r>
            <w:r/>
          </w:p>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64770</wp:posOffset>
                      </wp:positionH>
                      <wp:positionV relativeFrom="paragraph">
                        <wp:posOffset>336550</wp:posOffset>
                      </wp:positionV>
                      <wp:extent cx="910590" cy="910590"/>
                      <wp:effectExtent l="0" t="0" r="3810" b="3810"/>
                      <wp:wrapTight wrapText="bothSides">
                        <wp:wrapPolygon edited="1">
                          <wp:start x="0" y="0"/>
                          <wp:lineTo x="0" y="21238"/>
                          <wp:lineTo x="21238" y="21238"/>
                          <wp:lineTo x="21238" y="0"/>
                          <wp:lineTo x="0" y="0"/>
                        </wp:wrapPolygon>
                      </wp:wrapTight>
                      <wp:docPr id="11" name="图片 35" descr="微信图片_202603181311431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微信图片_2026031813114315_2"/>
                              <pic:cNvPicPr>
                                <a:picLocks noChangeAspect="1"/>
                              </pic:cNvPicPr>
                              <pic:nvPr/>
                            </pic:nvPicPr>
                            <pic:blipFill>
                              <a:blip r:embed="rId18"/>
                              <a:stretch/>
                            </pic:blipFill>
                            <pic:spPr bwMode="auto">
                              <a:xfrm>
                                <a:off x="0" y="0"/>
                                <a:ext cx="910590" cy="9105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5.1pt;mso-position-horizontal:absolute;mso-position-vertical-relative:text;margin-top:26.5pt;mso-position-vertical:absolute;width:71.7pt;height:71.7pt;mso-wrap-distance-left:9.0pt;mso-wrap-distance-top:0.0pt;mso-wrap-distance-right:9.0pt;mso-wrap-distance-bottom:0.0pt;" wrapcoords="0 0 0 98324 98324 98324 98324 0 0 0" stroked="false">
                      <v:path textboxrect="0,0,0,0"/>
                      <w10:wrap type="tight"/>
                      <v:imagedata r:id="rId18"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12</w:t>
            </w:r>
            <w:r/>
          </w:p>
        </w:tc>
        <w:tc>
          <w:tcPr>
            <w:tcW w:w="1125" w:type="dxa"/>
            <w:textDirection w:val="lrTb"/>
            <w:noWrap w:val="false"/>
          </w:tcPr>
          <w:p>
            <w:p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小型灭火携行包</w:t>
            </w:r>
            <w:r/>
          </w:p>
        </w:tc>
        <w:tc>
          <w:tcPr>
            <w:tcW w:w="6802" w:type="dxa"/>
            <w:textDirection w:val="lrTb"/>
            <w:noWrap w:val="false"/>
          </w:tcPr>
          <w:p>
            <w:p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1、携行包为可固定式设计，适配电动自行车安装布局，可一分为二，分别置于电动自行车两侧</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适配民用建筑、小型场所及电动自行车相关初期火灾扑救，满足基础灭火作业需求；包体采用防刮、耐磨、不掉色材质，底部设有排水孔，便于排水</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携行包表面印有“消防快速处置队”字样，字体均匀分布</w:t>
            </w:r>
            <w:r>
              <w:rPr>
                <w:rFonts w:hint="eastAsia" w:ascii="宋体" w:hAnsi="宋体" w:cs="宋体"/>
                <w:i w:val="0"/>
                <w:iCs w:val="0"/>
                <w:color w:val="000000"/>
                <w:sz w:val="24"/>
                <w:szCs w:val="24"/>
                <w:u w:val="none"/>
                <w:lang w:val="en-US" w:eastAsia="zh-CN"/>
              </w:rPr>
              <w:t xml:space="preserve">。</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、携行包整体自重（不带器材）≤5公斤; </w:t>
            </w:r>
            <w:r/>
          </w:p>
          <w:p>
            <w:pPr>
              <w:ind w:left="0" w:right="0" w:firstLine="0"/>
              <w:jc w:val="left"/>
              <w:rPr>
                <w:rFonts w:hint="eastAsia" w:ascii="宋体" w:hAnsi="宋体" w:eastAsia="宋体" w:cs="宋体"/>
                <w:sz w:val="24"/>
                <w:szCs w:val="24"/>
                <w:vertAlign w:val="baseline"/>
                <w:lang w:val="en-US" w:eastAsia="zh-CN"/>
              </w:rPr>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、可容纳空间：60米40mm水带、40mm多功能水枪2把、消火栓转换接口2个、消火栓扳手1把携行包内置器材收纳固定结构，确保携行及安装过程中部件无松动、无磕碰损坏；容积适中，尺寸采用：35cm*25cm*40cm，±≤5cm;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102870</wp:posOffset>
                      </wp:positionH>
                      <wp:positionV relativeFrom="paragraph">
                        <wp:posOffset>697865</wp:posOffset>
                      </wp:positionV>
                      <wp:extent cx="786130" cy="643890"/>
                      <wp:effectExtent l="0" t="0" r="13970" b="3810"/>
                      <wp:wrapTight wrapText="bothSides">
                        <wp:wrapPolygon edited="1">
                          <wp:start x="0" y="0"/>
                          <wp:lineTo x="0" y="21089"/>
                          <wp:lineTo x="20937" y="21089"/>
                          <wp:lineTo x="20937" y="0"/>
                          <wp:lineTo x="0" y="0"/>
                        </wp:wrapPolygon>
                      </wp:wrapTight>
                      <wp:docPr id="12" name="图片 27"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7" descr="图片7"/>
                              <pic:cNvPicPr>
                                <a:picLocks noChangeAspect="1"/>
                              </pic:cNvPicPr>
                              <pic:nvPr/>
                            </pic:nvPicPr>
                            <pic:blipFill>
                              <a:blip r:embed="rId19"/>
                              <a:stretch/>
                            </pic:blipFill>
                            <pic:spPr bwMode="auto">
                              <a:xfrm>
                                <a:off x="0" y="0"/>
                                <a:ext cx="786130" cy="643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8.1pt;mso-position-horizontal:absolute;mso-position-vertical-relative:text;margin-top:54.9pt;mso-position-vertical:absolute;width:61.9pt;height:50.7pt;mso-wrap-distance-left:9.0pt;mso-wrap-distance-top:0.0pt;mso-wrap-distance-right:9.0pt;mso-wrap-distance-bottom:0.0pt;" wrapcoords="0 0 0 97634 96931 97634 96931 0 0 0" stroked="f">
                      <v:path textboxrect="0,0,0,0"/>
                      <w10:wrap type="tight"/>
                      <v:imagedata r:id="rId19" o:title=""/>
                    </v:shape>
                  </w:pict>
                </mc:Fallback>
              </mc:AlternateContent>
            </w:r>
            <w:r/>
          </w:p>
        </w:tc>
      </w:tr>
    </w:tbl>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四、采购标的的数量、采购项目交付或者实施的时间和地点：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项目交付或者实施的时间：接到采购单位书面通知后，成交供应商须在</w:t>
      </w:r>
      <w:r>
        <w:rPr>
          <w:rFonts w:hint="eastAsia"/>
          <w:sz w:val="24"/>
          <w:szCs w:val="24"/>
          <w:highlight w:val="none"/>
          <w:lang w:val="en-US" w:eastAsia="zh-CN"/>
        </w:rPr>
        <w:t xml:space="preserve">60</w:t>
      </w:r>
      <w:r>
        <w:rPr>
          <w:rFonts w:hint="eastAsia" w:ascii="Times New Roman" w:hAnsi="Times New Roman"/>
          <w:sz w:val="24"/>
          <w:szCs w:val="24"/>
          <w:highlight w:val="none"/>
        </w:rPr>
        <w:t xml:space="preserve">个日历天内完成全部设备的供货、运输、安装、调试</w:t>
      </w:r>
      <w:r>
        <w:rPr>
          <w:rFonts w:hint="eastAsia"/>
          <w:sz w:val="24"/>
          <w:szCs w:val="24"/>
          <w:highlight w:val="none"/>
          <w:lang w:val="en-US" w:eastAsia="zh-CN"/>
        </w:rPr>
        <w:t xml:space="preserve">等</w:t>
      </w:r>
      <w:r>
        <w:rPr>
          <w:rFonts w:hint="eastAsia" w:ascii="Times New Roman" w:hAnsi="Times New Roman"/>
          <w:sz w:val="24"/>
          <w:szCs w:val="24"/>
          <w:highlight w:val="none"/>
        </w:rPr>
        <w:t xml:space="preserve">。</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项目交付地点：</w:t>
      </w:r>
      <w:r>
        <w:rPr>
          <w:rFonts w:hint="eastAsia" w:ascii="Times New Roman" w:hAnsi="Times New Roman"/>
          <w:sz w:val="24"/>
          <w:szCs w:val="24"/>
          <w:highlight w:val="none"/>
          <w:lang w:val="en-US" w:eastAsia="zh-CN"/>
        </w:rPr>
        <w:t xml:space="preserve">采购人</w:t>
      </w:r>
      <w:r>
        <w:rPr>
          <w:rFonts w:hint="eastAsia" w:ascii="Times New Roman" w:hAnsi="Times New Roman"/>
          <w:sz w:val="24"/>
          <w:szCs w:val="24"/>
          <w:highlight w:val="none"/>
        </w:rPr>
        <w:t xml:space="preserve">指定地点。</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五、采购标的需满足的服务标准、期限、效率等要求：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 xml:space="preserve">质保</w:t>
      </w:r>
      <w:r>
        <w:rPr>
          <w:rFonts w:hint="eastAsia" w:ascii="Times New Roman" w:hAnsi="Times New Roman"/>
          <w:sz w:val="24"/>
          <w:szCs w:val="24"/>
          <w:highlight w:val="none"/>
        </w:rPr>
        <w:t xml:space="preserve">期限：</w:t>
      </w:r>
      <w:r>
        <w:rPr>
          <w:rFonts w:hint="eastAsia"/>
          <w:sz w:val="24"/>
          <w:szCs w:val="24"/>
          <w:highlight w:val="none"/>
          <w:lang w:val="en-US" w:eastAsia="zh-CN"/>
        </w:rPr>
        <w:t xml:space="preserve">一</w:t>
      </w:r>
      <w:r>
        <w:rPr>
          <w:rFonts w:hint="eastAsia" w:ascii="Times New Roman" w:hAnsi="Times New Roman"/>
          <w:sz w:val="24"/>
          <w:szCs w:val="24"/>
          <w:highlight w:val="none"/>
        </w:rPr>
        <w:t xml:space="preserve">年</w:t>
      </w:r>
      <w:r>
        <w:rPr>
          <w:rFonts w:hint="eastAsia" w:ascii="Times New Roman" w:hAnsi="Times New Roman"/>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p>
    <w:p>
      <w:pPr>
        <w:ind w:firstLine="480"/>
        <w:spacing w:line="560" w:lineRule="exac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质量要求：</w:t>
      </w:r>
      <w:r>
        <w:rPr>
          <w:rFonts w:hint="eastAsia"/>
          <w:sz w:val="24"/>
          <w:szCs w:val="24"/>
          <w:highlight w:val="none"/>
          <w:lang w:val="en-US" w:eastAsia="zh-CN"/>
        </w:rPr>
        <w:t xml:space="preserve">符合相关标准。</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六、采购标的的验收标准：</w:t>
      </w:r>
      <w:r/>
    </w:p>
    <w:p>
      <w:pPr>
        <w:ind w:firstLine="560"/>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560"/>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七、采购标的的其他技术、服务等要求：</w:t>
      </w:r>
      <w:r/>
    </w:p>
    <w:p>
      <w:pPr>
        <w:ind w:firstLine="480"/>
        <w:spacing w:line="560" w:lineRule="exact"/>
        <w:rPr>
          <w:rFonts w:hint="eastAsia" w:ascii="Times New Roman" w:hAnsi="Times New Roman"/>
          <w:sz w:val="24"/>
          <w:szCs w:val="24"/>
          <w:highlight w:val="none"/>
        </w:rPr>
      </w:pPr>
      <w:r>
        <w:rPr>
          <w:rFonts w:hint="eastAsia" w:ascii="Times New Roman" w:hAnsi="Times New Roman"/>
          <w:color w:val="000000"/>
          <w:sz w:val="24"/>
          <w:szCs w:val="24"/>
          <w:highlight w:val="none"/>
        </w:rPr>
        <w:t xml:space="preserve">7.1保密要求和安全协议。响应供应商应</w:t>
      </w:r>
      <w:r>
        <w:rPr>
          <w:rFonts w:hint="eastAsia" w:ascii="Times New Roman" w:hAnsi="Times New Roman"/>
          <w:sz w:val="24"/>
          <w:szCs w:val="24"/>
          <w:highlight w:val="none"/>
        </w:rPr>
        <w:t xml:space="preserve">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7.2包装要求：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（1）商品包装层数不得超过 3 层，空隙率不大于 40%；</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（3）商品包装中铅、汞、镉、六价铬的总含量应不大于100mg/kg；</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（5）塑料材质商品包装上呈现的印刷颜色不得超过6色；</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（6）纸质商品包装应使用75%以上的可再生纤维原料生产；</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（7）木质商品包装的原料应来源于可持续性森林。</w:t>
      </w:r>
      <w:r/>
    </w:p>
    <w:p>
      <w:pPr>
        <w:ind w:firstLine="480"/>
        <w:spacing w:line="560" w:lineRule="exact"/>
        <w:rPr>
          <w:rFonts w:ascii="Times New Roman" w:hAnsi="Times New Roman"/>
          <w:sz w:val="24"/>
          <w:szCs w:val="24"/>
          <w:highlight w:val="none"/>
          <w:lang w:val="en-US" w:eastAsia="zh-CN"/>
        </w:rPr>
      </w:pPr>
      <w:r>
        <w:rPr>
          <w:rFonts w:hint="eastAsia" w:ascii="Times New Roman" w:hAnsi="Times New Roman"/>
          <w:sz w:val="24"/>
          <w:szCs w:val="24"/>
          <w:highlight w:val="none"/>
        </w:rPr>
        <w:t xml:space="preserve">7.2.2快递包装环保要求：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（1）快递包装中重金属（铅、汞、镉、六价铬）总量应不大于 100mg/kg；</w:t>
      </w:r>
      <w:r/>
    </w:p>
    <w:p>
      <w:pPr>
        <w:ind w:firstLine="480"/>
        <w:spacing w:line="560" w:lineRule="exact"/>
        <w:rPr>
          <w:rFonts w:ascii="Times New Roman" w:hAnsi="Times New Roman"/>
          <w:sz w:val="24"/>
          <w:szCs w:val="24"/>
          <w:highlight w:val="none"/>
          <w:lang w:val="en-US" w:eastAsia="zh-CN"/>
        </w:rPr>
      </w:pPr>
      <w:r>
        <w:rPr>
          <w:rFonts w:hint="eastAsia" w:ascii="Times New Roman" w:hAnsi="Times New Roman"/>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sz w:val="24"/>
          <w:szCs w:val="24"/>
          <w:highlight w:val="none"/>
          <w:lang w:val="en-US" w:eastAsia="zh-CN"/>
        </w:rPr>
      </w:pPr>
      <w:r>
        <w:rPr>
          <w:rFonts w:hint="eastAsia" w:ascii="Times New Roman" w:hAnsi="Times New Roman"/>
          <w:sz w:val="24"/>
          <w:szCs w:val="24"/>
          <w:highlight w:val="none"/>
        </w:rPr>
        <w:t xml:space="preserve">（3）快递包装中使用纸基材的包装材料，纸基材中的有机氯的含量应不大于 150 mg/kg；</w:t>
      </w:r>
      <w:r/>
    </w:p>
    <w:p>
      <w:pPr>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（8）快递中应使用幅宽不大于45mm 的生物降解胶带；</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（9）快递包装中不得使用溶剂型胶粘剂；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（11）快递应使用电子面单；</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7.3绿色数据中心</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3"/>
        </w:num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（1）非单一产品采购项目，采购标的中的核心产品：</w:t>
      </w:r>
      <w:r>
        <w:rPr>
          <w:rFonts w:hint="eastAsia"/>
          <w:sz w:val="24"/>
          <w:szCs w:val="24"/>
          <w:highlight w:val="none"/>
          <w:lang w:val="en-US" w:eastAsia="zh-CN"/>
        </w:rPr>
        <w:t xml:space="preserve">化学氧自救呼吸器</w:t>
      </w:r>
      <w:r/>
    </w:p>
    <w:p>
      <w:pPr>
        <w:numPr>
          <w:ilvl w:val="0"/>
          <w:numId w:val="0"/>
        </w:numPr>
        <w:ind w:firstLine="960"/>
        <w:spacing w:line="560" w:lineRule="exac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（2）本项目的主要标的：</w:t>
      </w:r>
      <w:r>
        <w:rPr>
          <w:rFonts w:hint="eastAsia"/>
          <w:sz w:val="24"/>
          <w:szCs w:val="24"/>
          <w:highlight w:val="none"/>
          <w:lang w:val="en-US" w:eastAsia="zh-CN"/>
        </w:rPr>
        <w:t xml:space="preserve">化学氧自救呼吸器</w:t>
      </w:r>
      <w:r/>
    </w:p>
    <w:p>
      <w:pPr>
        <w:ind w:firstLine="480"/>
        <w:spacing w:line="560" w:lineRule="exact"/>
        <w:rPr>
          <w:rFonts w:hint="eastAsia"/>
          <w:sz w:val="24"/>
          <w:szCs w:val="24"/>
          <w:highlight w:val="none"/>
          <w:lang w:val="en-US" w:eastAsia="zh-CN"/>
        </w:rPr>
      </w:pPr>
      <w:r>
        <w:rPr>
          <w:rFonts w:hint="eastAsia" w:ascii="Times New Roman" w:hAnsi="Times New Roman"/>
          <w:sz w:val="24"/>
          <w:szCs w:val="24"/>
          <w:highlight w:val="none"/>
        </w:rPr>
        <w:t xml:space="preserve">九、</w:t>
      </w:r>
      <w:r>
        <w:rPr>
          <w:rFonts w:hint="eastAsia"/>
          <w:sz w:val="24"/>
          <w:szCs w:val="24"/>
          <w:highlight w:val="none"/>
          <w:lang w:val="en-US" w:eastAsia="zh-CN"/>
        </w:rPr>
        <w:t xml:space="preserve">采购需求中必须满足的实质性需求</w:t>
      </w:r>
      <w:r/>
    </w:p>
    <w:p>
      <w:pPr>
        <w:ind w:firstLine="480"/>
        <w:spacing w:line="560" w:lineRule="exact"/>
        <w:rPr>
          <w:rFonts w:hint="default"/>
          <w:sz w:val="24"/>
          <w:szCs w:val="24"/>
          <w:highlight w:val="none"/>
          <w:lang w:val="en-US" w:eastAsia="zh-CN"/>
        </w:rPr>
      </w:pPr>
      <w:r>
        <w:rPr>
          <w:rFonts w:ascii="宋体" w:hAnsi="宋体" w:eastAsia="宋体" w:cs="宋体"/>
          <w:sz w:val="24"/>
          <w:szCs w:val="24"/>
          <w:highlight w:val="none"/>
        </w:rPr>
        <w:t xml:space="preserve">本项目招标文件中</w:t>
      </w:r>
      <w:r>
        <w:rPr>
          <w:rFonts w:hint="eastAsia" w:ascii="宋体" w:hAnsi="宋体" w:eastAsia="宋体" w:cs="宋体"/>
          <w:sz w:val="24"/>
          <w:szCs w:val="24"/>
          <w:highlight w:val="none"/>
          <w:lang w:val="en-US" w:eastAsia="zh-CN"/>
        </w:rPr>
        <w:t xml:space="preserve">未</w:t>
      </w:r>
      <w:r>
        <w:rPr>
          <w:rFonts w:hint="eastAsia" w:ascii="宋体" w:hAnsi="宋体" w:cs="宋体"/>
          <w:sz w:val="24"/>
          <w:szCs w:val="24"/>
          <w:highlight w:val="none"/>
          <w:lang w:val="en-US" w:eastAsia="zh-CN"/>
        </w:rPr>
        <w:t xml:space="preserve">注</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和“</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rPr>
        <w:t xml:space="preserve">的为实质性要求，不得出现偏离，否则视为无效响应。</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十、</w:t>
      </w:r>
      <w:r>
        <w:rPr>
          <w:rFonts w:hint="eastAsia" w:ascii="宋体" w:hAnsi="宋体"/>
          <w:sz w:val="24"/>
          <w:szCs w:val="24"/>
          <w:highlight w:val="none"/>
        </w:rPr>
        <w:t xml:space="preserve">付款方式</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签订合同，待项目全部完成、验收合格后付一次性付清。</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一</w:t>
      </w:r>
      <w:r>
        <w:rPr>
          <w:rFonts w:hint="eastAsia" w:ascii="宋体" w:hAnsi="宋体"/>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rPr>
        <w:t xml:space="preserve"> %。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二</w:t>
      </w:r>
      <w:r>
        <w:rPr>
          <w:rFonts w:hint="eastAsia" w:ascii="宋体" w:hAnsi="宋体"/>
          <w:sz w:val="24"/>
          <w:szCs w:val="24"/>
          <w:highlight w:val="none"/>
        </w:rPr>
        <w:t xml:space="preserve">、合同条款（详见附件）</w:t>
      </w:r>
      <w:r/>
    </w:p>
    <w:p>
      <w:pPr>
        <w:ind w:firstLine="482"/>
        <w:spacing w:line="560" w:lineRule="exact"/>
        <w:rPr>
          <w:rFonts w:ascii="宋体" w:hAnsi="宋体"/>
          <w:b w:val="0"/>
          <w:bCs w:val="0"/>
          <w:sz w:val="24"/>
          <w:szCs w:val="24"/>
          <w:highlight w:val="none"/>
        </w:rPr>
      </w:pPr>
      <w:r>
        <w:rPr>
          <w:rFonts w:hint="eastAsia" w:ascii="宋体" w:hAnsi="宋体"/>
          <w:b w:val="0"/>
          <w:bCs w:val="0"/>
          <w:sz w:val="24"/>
          <w:szCs w:val="24"/>
          <w:highlight w:val="none"/>
          <w:lang w:val="en-US" w:eastAsia="zh-CN"/>
        </w:rPr>
        <w:t xml:space="preserve">十三、</w:t>
      </w:r>
      <w:r>
        <w:rPr>
          <w:rFonts w:hint="eastAsia" w:ascii="宋体" w:hAnsi="宋体"/>
          <w:b w:val="0"/>
          <w:bCs w:val="0"/>
          <w:sz w:val="24"/>
          <w:szCs w:val="24"/>
          <w:highlight w:val="none"/>
        </w:rPr>
        <w:t xml:space="preserve">演示要求</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上传视频演示</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p>
    <w:p>
      <w:pPr>
        <w:ind w:firstLine="482"/>
        <w:spacing w:line="560" w:lineRule="exact"/>
        <w:rPr>
          <w:highlight w:val="none"/>
        </w:rPr>
      </w:pPr>
      <w:r>
        <w:rPr>
          <w:rFonts w:hint="eastAsia" w:ascii="宋体" w:hAnsi="宋体"/>
          <w:bCs/>
          <w:sz w:val="24"/>
          <w:szCs w:val="24"/>
          <w:highlight w:val="none"/>
        </w:rPr>
        <w:t xml:space="preserve">（2）演示内容如下：详见评标方法与评标标准</w:t>
      </w:r>
      <w:r/>
    </w:p>
    <w:p>
      <w:pPr>
        <w:ind w:firstLine="480"/>
        <w:spacing w:line="560" w:lineRule="exact"/>
        <w:rPr>
          <w:rFonts w:ascii="Times New Roman" w:hAnsi="Times New Roman"/>
          <w:sz w:val="24"/>
          <w:szCs w:val="24"/>
          <w:highlight w:val="none"/>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ascii="Times New Roman" w:hAnsi="Times New Roman"/>
          <w:sz w:val="24"/>
          <w:szCs w:val="24"/>
          <w:highlight w:val="none"/>
          <w:lang w:val="en-US" w:eastAsia="zh-CN"/>
        </w:rPr>
      </w:r>
      <w:r/>
    </w:p>
    <w:p>
      <w:pPr>
        <w:jc w:val="center"/>
        <w:keepNext/>
        <w:spacing w:line="560" w:lineRule="exact"/>
        <w:rPr>
          <w:rFonts w:hint="eastAsia" w:ascii="宋体" w:hAnsi="宋体"/>
          <w:b/>
          <w:bCs/>
          <w:sz w:val="44"/>
          <w:szCs w:val="28"/>
          <w:highlight w:val="none"/>
        </w:rPr>
        <w:outlineLvl w:val="0"/>
      </w:pPr>
      <w:r/>
      <w:bookmarkStart w:id="172" w:name="_Toc120614281"/>
      <w:r>
        <w:rPr>
          <w:rFonts w:hint="eastAsia" w:ascii="宋体" w:hAnsi="宋体"/>
          <w:bCs/>
          <w:sz w:val="44"/>
          <w:szCs w:val="28"/>
          <w:highlight w:val="none"/>
        </w:rPr>
        <w:t xml:space="preserve">第四章  </w:t>
      </w:r>
      <w:r>
        <w:rPr>
          <w:rFonts w:hint="eastAsia" w:ascii="宋体" w:hAnsi="宋体"/>
          <w:b/>
          <w:bCs/>
          <w:sz w:val="44"/>
          <w:szCs w:val="28"/>
          <w:highlight w:val="none"/>
        </w:rPr>
        <w:t xml:space="preserve">评审方法与评审标准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评委在认真审阅响应文件的基础上，根据各响应文件的响应程度独立评判，不得统一打分。</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（一）采购人（代表）对供应商资格进行审查。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供应商资格不合格的，其响应文件判定为无效响应文件。</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（二）磋商小组对符合资格供应商的响应文件进行符合性审查。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未通过符合性审查的响应文件，将被判为不满足磋商文件实质性要求。 </w:t>
      </w:r>
      <w:r/>
    </w:p>
    <w:p>
      <w:pPr>
        <w:ind w:firstLine="482"/>
        <w:jc w:val="left"/>
        <w:spacing w:line="500" w:lineRule="exact"/>
        <w:rPr>
          <w:rFonts w:hint="eastAsia" w:ascii="宋体" w:hAnsi="宋体" w:cs="宋体"/>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商务技术分</w:t>
      </w:r>
      <w:r>
        <w:rPr>
          <w:rFonts w:hint="eastAsia" w:ascii="宋体" w:hAnsi="宋体" w:cs="宋体"/>
          <w:sz w:val="24"/>
          <w:szCs w:val="24"/>
          <w:lang w:val="zh-CN"/>
        </w:rPr>
        <w:t xml:space="preserve">：</w:t>
      </w:r>
      <w:r>
        <w:rPr>
          <w:rFonts w:hint="eastAsia" w:ascii="宋体" w:hAnsi="宋体" w:cs="宋体"/>
          <w:sz w:val="24"/>
          <w:szCs w:val="24"/>
        </w:rPr>
        <w:t xml:space="preserve">70</w:t>
      </w:r>
      <w:r>
        <w:rPr>
          <w:rFonts w:hint="eastAsia" w:ascii="宋体" w:hAnsi="宋体" w:cs="宋体"/>
          <w:sz w:val="24"/>
          <w:szCs w:val="24"/>
          <w:lang w:val="zh-CN"/>
        </w:rPr>
        <w:t xml:space="preserve">分</w:t>
      </w:r>
      <w:r/>
    </w:p>
    <w:p>
      <w:pPr>
        <w:ind w:firstLine="482"/>
        <w:spacing w:line="480" w:lineRule="exact"/>
        <w:rPr>
          <w:rFonts w:ascii="宋体" w:hAnsi="宋体" w:cs="宋体"/>
          <w:color w:val="000000"/>
          <w:sz w:val="24"/>
          <w:szCs w:val="24"/>
        </w:rPr>
      </w:pPr>
      <w:r>
        <w:rPr>
          <w:rFonts w:hint="eastAsia" w:ascii="宋体" w:hAnsi="宋体"/>
          <w:sz w:val="24"/>
          <w:szCs w:val="24"/>
        </w:rPr>
        <w:t xml:space="preserve">各供应商得分为磋商小组成员评分的算术平均分，分值保留小数点后两位。</w:t>
      </w:r>
      <w:r/>
    </w:p>
    <w:tbl>
      <w:tblPr>
        <w:tblStyle w:val="819"/>
        <w:tblW w:w="10245" w:type="dxa"/>
        <w:tblInd w:w="-445" w:type="dxa"/>
        <w:tblLayout w:type="fixed"/>
        <w:tblCellMar>
          <w:left w:w="108" w:type="dxa"/>
          <w:top w:w="0" w:type="dxa"/>
          <w:right w:w="108" w:type="dxa"/>
          <w:bottom w:w="0" w:type="dxa"/>
        </w:tblCellMar>
        <w:tblLook w:val="04A0" w:firstRow="1" w:lastRow="0" w:firstColumn="1" w:lastColumn="0" w:noHBand="0" w:noVBand="1"/>
      </w:tblPr>
      <w:tblGrid>
        <w:gridCol w:w="645"/>
        <w:gridCol w:w="1185"/>
        <w:gridCol w:w="555"/>
        <w:gridCol w:w="7860"/>
      </w:tblGrid>
      <w:tr>
        <w:trPr>
          <w:trHeight w:val="37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序号 </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评分点</w:t>
            </w:r>
            <w:r/>
          </w:p>
          <w:p>
            <w:pPr>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名称</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分值</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ind w:firstLine="360"/>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评审标准</w:t>
            </w:r>
            <w:r/>
          </w:p>
        </w:tc>
      </w:tr>
      <w:tr>
        <w:trPr>
          <w:trHeight w:val="2304"/>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sz w:val="24"/>
                <w:szCs w:val="24"/>
                <w:lang w:eastAsia="en-US"/>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sz w:val="24"/>
                <w:szCs w:val="24"/>
              </w:rPr>
            </w:pPr>
            <w:r>
              <w:rPr>
                <w:rFonts w:hint="eastAsia" w:asciiTheme="minorEastAsia" w:hAnsiTheme="minorEastAsia" w:eastAsiaTheme="minorEastAsia"/>
                <w:sz w:val="24"/>
                <w:szCs w:val="24"/>
              </w:rPr>
              <w:t xml:space="preserve">技术要求</w:t>
            </w:r>
            <w:r/>
          </w:p>
        </w:tc>
        <w:tc>
          <w:tcPr>
            <w:tcBorders>
              <w:top w:val="non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20" w:lineRule="exact"/>
              <w:widowControl/>
              <w:rPr>
                <w:rFonts w:hint="eastAsia" w:ascii="宋体" w:hAnsi="宋体" w:eastAsia="宋体" w:cs="宋体"/>
                <w:bCs/>
                <w:sz w:val="24"/>
                <w:szCs w:val="24"/>
              </w:rPr>
            </w:pPr>
            <w:r>
              <w:rPr>
                <w:rFonts w:hint="eastAsia" w:asciiTheme="minorEastAsia" w:hAnsiTheme="minorEastAsia" w:eastAsiaTheme="minorEastAsia"/>
                <w:sz w:val="24"/>
                <w:szCs w:val="24"/>
              </w:rPr>
              <w:t xml:space="preserve">30</w:t>
            </w:r>
            <w:r/>
          </w:p>
        </w:tc>
        <w:tc>
          <w:tcPr>
            <w:tcBorders>
              <w:top w:val="non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Theme="minorEastAsia" w:hAnsiTheme="minorEastAsia" w:eastAsiaTheme="minorEastAsia"/>
                <w:sz w:val="24"/>
                <w:szCs w:val="24"/>
              </w:rPr>
              <w:t xml:space="preserve">完全满足招标文件采购需求技术要求的得满分30分；招标文件技术参数中标注“▲”指标为重点功能要求，需在相对应的检测报告</w:t>
            </w:r>
            <w:r>
              <w:rPr>
                <w:rFonts w:hint="eastAsia" w:asciiTheme="minorEastAsia" w:hAnsiTheme="minorEastAsia" w:eastAsiaTheme="minorEastAsia"/>
                <w:sz w:val="24"/>
                <w:szCs w:val="24"/>
                <w:lang w:val="en-US" w:eastAsia="zh-CN"/>
              </w:rPr>
              <w:t xml:space="preserve">或厂家证明文件彩页</w:t>
            </w:r>
            <w:r>
              <w:rPr>
                <w:rFonts w:hint="eastAsia" w:asciiTheme="minorEastAsia" w:hAnsiTheme="minorEastAsia" w:eastAsiaTheme="minorEastAsia"/>
                <w:sz w:val="24"/>
                <w:szCs w:val="24"/>
              </w:rPr>
              <w:t xml:space="preserve">中体现</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每有1项不满足的，扣</w:t>
            </w: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分，扣完为止；标注“</w:t>
            </w:r>
            <w:r>
              <w:rPr>
                <w:rFonts w:hint="eastAsia" w:ascii="宋体" w:hAnsi="宋体" w:cs="宋体"/>
                <w:i w:val="0"/>
                <w:iCs w:val="0"/>
                <w:color w:val="000000"/>
                <w:sz w:val="24"/>
                <w:szCs w:val="24"/>
                <w:u w:val="none"/>
                <w:lang w:val="en-US" w:eastAsia="zh-CN"/>
              </w:rPr>
              <w:t xml:space="preserve">△</w:t>
            </w:r>
            <w:r>
              <w:rPr>
                <w:rFonts w:hint="eastAsia" w:asciiTheme="minorEastAsia" w:hAnsiTheme="minorEastAsia" w:eastAsiaTheme="minorEastAsia"/>
                <w:sz w:val="24"/>
                <w:szCs w:val="24"/>
              </w:rPr>
              <w:t xml:space="preserve">”指标为</w:t>
            </w:r>
            <w:r>
              <w:rPr>
                <w:rFonts w:hint="eastAsia" w:asciiTheme="minorEastAsia" w:hAnsiTheme="minorEastAsia" w:eastAsiaTheme="minorEastAsia"/>
                <w:sz w:val="24"/>
                <w:szCs w:val="24"/>
                <w:lang w:val="en-US" w:eastAsia="zh-CN"/>
              </w:rPr>
              <w:t xml:space="preserve">重要</w:t>
            </w:r>
            <w:r>
              <w:rPr>
                <w:rFonts w:hint="eastAsia" w:asciiTheme="minorEastAsia" w:hAnsiTheme="minorEastAsia" w:eastAsiaTheme="minorEastAsia"/>
                <w:sz w:val="24"/>
                <w:szCs w:val="24"/>
              </w:rPr>
              <w:t xml:space="preserve">功能要求，需</w:t>
            </w:r>
            <w:r>
              <w:rPr>
                <w:rFonts w:asciiTheme="minorEastAsia" w:hAnsiTheme="minorEastAsia" w:eastAsiaTheme="minorEastAsia"/>
                <w:sz w:val="24"/>
                <w:szCs w:val="24"/>
              </w:rPr>
              <w:t xml:space="preserve">提供</w:t>
            </w:r>
            <w:r>
              <w:rPr>
                <w:rFonts w:hint="eastAsia" w:asciiTheme="minorEastAsia" w:hAnsiTheme="minorEastAsia" w:eastAsiaTheme="minorEastAsia"/>
                <w:sz w:val="24"/>
                <w:szCs w:val="24"/>
                <w:lang w:val="en-US" w:eastAsia="zh-CN"/>
              </w:rPr>
              <w:t xml:space="preserve">相关产品彩页、</w:t>
            </w:r>
            <w:r>
              <w:rPr>
                <w:rFonts w:asciiTheme="minorEastAsia" w:hAnsiTheme="minorEastAsia" w:eastAsiaTheme="minorEastAsia"/>
                <w:sz w:val="24"/>
                <w:szCs w:val="24"/>
              </w:rPr>
              <w:t xml:space="preserve">文件等证明材料</w:t>
            </w:r>
            <w:r>
              <w:rPr>
                <w:rFonts w:hint="eastAsia" w:asciiTheme="minorEastAsia" w:hAnsiTheme="minorEastAsia" w:eastAsiaTheme="minorEastAsia"/>
                <w:sz w:val="24"/>
                <w:szCs w:val="24"/>
              </w:rPr>
              <w:t xml:space="preserve">，有一项负偏离扣</w:t>
            </w:r>
            <w:r>
              <w:rPr>
                <w:rFonts w:hint="eastAsia" w:asciiTheme="minorEastAsia" w:hAnsiTheme="minorEastAsia" w:eastAsiaTheme="minorEastAsia"/>
                <w:sz w:val="24"/>
                <w:szCs w:val="24"/>
                <w:lang w:val="en-US" w:eastAsia="zh-CN"/>
              </w:rPr>
              <w:t xml:space="preserve">0.5</w:t>
            </w:r>
            <w:r>
              <w:rPr>
                <w:rFonts w:hint="eastAsia" w:asciiTheme="minorEastAsia" w:hAnsiTheme="minorEastAsia" w:eastAsiaTheme="minorEastAsia"/>
                <w:sz w:val="24"/>
                <w:szCs w:val="24"/>
              </w:rPr>
              <w:t xml:space="preserve">分，扣完为止。（技术响应须提供产品清晰图片和详细参数或使用说明书）</w:t>
            </w:r>
            <w:r/>
          </w:p>
        </w:tc>
      </w:tr>
      <w:tr>
        <w:trPr>
          <w:trHeight w:val="73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sz w:val="24"/>
                <w:szCs w:val="24"/>
                <w:lang w:eastAsia="en-US"/>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企业实力及业绩</w:t>
            </w:r>
            <w:r/>
          </w:p>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non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420" w:lineRule="exact"/>
              <w:widowControl/>
              <w:rPr>
                <w:rFonts w:hint="eastAsia" w:ascii="宋体" w:hAnsi="宋体" w:eastAsia="宋体" w:cs="宋体"/>
                <w:bCs/>
                <w:sz w:val="24"/>
                <w:szCs w:val="24"/>
                <w:lang w:eastAsia="zh-CN"/>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8</w:t>
            </w:r>
            <w:r/>
          </w:p>
        </w:tc>
        <w:tc>
          <w:tcPr>
            <w:tcBorders>
              <w:top w:val="none" w:color="000000" w:sz="4" w:space="0"/>
              <w:left w:val="none" w:color="000000" w:sz="4" w:space="0"/>
              <w:bottom w:val="single" w:color="000000" w:sz="4" w:space="0"/>
              <w:right w:val="single" w:color="000000" w:sz="4" w:space="0"/>
            </w:tcBorders>
            <w:tcW w:w="7860" w:type="dxa"/>
            <w:vAlign w:val="center"/>
            <w:textDirection w:val="lrTb"/>
            <w:noWrap w:val="false"/>
          </w:tcPr>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1、供应商具有有效期内的ISO质量管理体系认证、环境管理体系认证、职业健康安全管理体系认证，每项认证得1分，最高得</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分。（网页链接及国家市场监督管理网站查询截图扫描件上传，过期证书无效）</w:t>
            </w:r>
            <w:r/>
          </w:p>
          <w:p>
            <w:pPr>
              <w:spacing w:line="400" w:lineRule="exact"/>
              <w:rPr>
                <w:rFonts w:hint="eastAsia" w:ascii="宋体" w:hAnsi="宋体" w:eastAsia="宋体" w:cs="宋体"/>
                <w:sz w:val="24"/>
                <w:szCs w:val="24"/>
              </w:rPr>
            </w:pPr>
            <w:r>
              <w:rPr>
                <w:rFonts w:hint="eastAsia" w:asciiTheme="minorEastAsia" w:hAnsiTheme="minorEastAsia" w:eastAsiaTheme="minorEastAsia"/>
                <w:sz w:val="24"/>
                <w:szCs w:val="24"/>
              </w:rPr>
              <w:t xml:space="preserve">2、供应商2020年以来承担过</w:t>
            </w:r>
            <w:r>
              <w:rPr>
                <w:rFonts w:hint="eastAsia" w:asciiTheme="minorEastAsia" w:hAnsiTheme="minorEastAsia" w:eastAsiaTheme="minorEastAsia"/>
                <w:sz w:val="24"/>
                <w:szCs w:val="24"/>
                <w:lang w:val="en-US" w:eastAsia="zh-CN"/>
              </w:rPr>
              <w:t xml:space="preserve">类似</w:t>
            </w:r>
            <w:r>
              <w:rPr>
                <w:rFonts w:hint="eastAsia" w:asciiTheme="minorEastAsia" w:hAnsiTheme="minorEastAsia" w:eastAsiaTheme="minorEastAsia"/>
                <w:sz w:val="24"/>
                <w:szCs w:val="24"/>
              </w:rPr>
              <w:t xml:space="preserve">产品销售业绩的，每提供一个得</w:t>
            </w:r>
            <w:r>
              <w:rPr>
                <w:rFonts w:hint="eastAsia" w:asciiTheme="minorEastAsia" w:hAnsiTheme="minorEastAsia" w:eastAsiaTheme="minorEastAsia"/>
                <w:sz w:val="24"/>
                <w:szCs w:val="24"/>
                <w:lang w:val="en-US" w:eastAsia="zh-CN"/>
              </w:rPr>
              <w:t xml:space="preserve">2.5</w:t>
            </w:r>
            <w:r>
              <w:rPr>
                <w:rFonts w:hint="eastAsia" w:asciiTheme="minorEastAsia" w:hAnsiTheme="minorEastAsia" w:eastAsiaTheme="minorEastAsia"/>
                <w:sz w:val="24"/>
                <w:szCs w:val="24"/>
              </w:rPr>
              <w:t xml:space="preserve">分，满分</w:t>
            </w:r>
            <w:r>
              <w:rPr>
                <w:rFonts w:hint="eastAsia" w:asciiTheme="minorEastAsia" w:hAnsiTheme="minorEastAsia" w:eastAsiaTheme="minorEastAsia"/>
                <w:sz w:val="24"/>
                <w:szCs w:val="24"/>
                <w:lang w:val="en-US" w:eastAsia="zh-CN"/>
              </w:rPr>
              <w:t xml:space="preserve">5</w:t>
            </w:r>
            <w:r>
              <w:rPr>
                <w:rFonts w:hint="eastAsia" w:asciiTheme="minorEastAsia" w:hAnsiTheme="minorEastAsia" w:eastAsiaTheme="minorEastAsia"/>
                <w:sz w:val="24"/>
                <w:szCs w:val="24"/>
              </w:rPr>
              <w:t xml:space="preserve">分。（提供</w:t>
            </w:r>
            <w:r>
              <w:rPr>
                <w:rFonts w:hint="eastAsia" w:asciiTheme="minorEastAsia" w:hAnsiTheme="minorEastAsia" w:eastAsiaTheme="minorEastAsia"/>
                <w:sz w:val="24"/>
                <w:szCs w:val="24"/>
                <w:lang w:val="en-US" w:eastAsia="zh-CN"/>
              </w:rPr>
              <w:t xml:space="preserve">有效</w:t>
            </w:r>
            <w:r>
              <w:rPr>
                <w:rFonts w:hint="eastAsia" w:asciiTheme="minorEastAsia" w:hAnsiTheme="minorEastAsia" w:eastAsiaTheme="minorEastAsia"/>
                <w:sz w:val="24"/>
                <w:szCs w:val="24"/>
              </w:rPr>
              <w:t xml:space="preserve">合同扫描件、发票扫描件</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否则不得分）</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bCs/>
                <w:color w:val="000000"/>
                <w:sz w:val="24"/>
                <w:szCs w:val="24"/>
              </w:rPr>
            </w:pPr>
            <w:r>
              <w:rPr>
                <w:rFonts w:hint="eastAsia" w:asciiTheme="minorEastAsia" w:hAnsiTheme="minorEastAsia" w:eastAsiaTheme="minorEastAsia"/>
                <w:sz w:val="24"/>
                <w:szCs w:val="24"/>
              </w:rPr>
              <w:t xml:space="preserve">功能演示</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420" w:lineRule="exact"/>
              <w:widowControl/>
              <w:rPr>
                <w:rFonts w:hint="eastAsia" w:ascii="宋体" w:hAnsi="宋体" w:eastAsia="宋体" w:cs="宋体"/>
                <w:bCs/>
                <w:color w:val="ff0000"/>
                <w:sz w:val="24"/>
                <w:szCs w:val="24"/>
                <w:lang w:val="en-US" w:eastAsia="zh-CN"/>
              </w:rPr>
            </w:pPr>
            <w:r>
              <w:rPr>
                <w:rFonts w:hint="eastAsia" w:ascii="宋体" w:hAnsi="宋体" w:cs="宋体"/>
                <w:bCs/>
                <w:color w:val="000000" w:themeColor="text1"/>
                <w:sz w:val="24"/>
                <w:szCs w:val="24"/>
                <w:lang w:val="en-US" w:eastAsia="zh-CN"/>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产品综合性能以视频方式展现，须提供视频的产品为</w:t>
            </w:r>
            <w:r>
              <w:rPr>
                <w:rFonts w:hint="eastAsia" w:asciiTheme="minorEastAsia" w:hAnsiTheme="minorEastAsia" w:eastAsiaTheme="minorEastAsia"/>
                <w:sz w:val="24"/>
                <w:szCs w:val="24"/>
                <w:lang w:val="en-US" w:eastAsia="zh-CN"/>
              </w:rPr>
              <w:t xml:space="preserve">化学氧自救呼吸器和便携式新能源灭火设备（手提式）</w:t>
            </w:r>
            <w:r>
              <w:rPr>
                <w:rFonts w:hint="eastAsia" w:asciiTheme="minorEastAsia" w:hAnsiTheme="minorEastAsia" w:eastAsiaTheme="minorEastAsia"/>
                <w:sz w:val="24"/>
                <w:szCs w:val="24"/>
              </w:rPr>
              <w:t xml:space="preserve">，产品视频不得超过5分钟须详细体现评分要求所需体现内容如下：</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1、产品质量：功能，材质，工艺等。完全符合要求得</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分；每有1处瑕疵（如功能不全面、材质不符合质量要求、工艺较差样品表面毛糙等）扣</w:t>
            </w: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分，扣完为止。 </w:t>
            </w:r>
            <w:r/>
          </w:p>
          <w:p>
            <w:pPr>
              <w:spacing w:line="400" w:lineRule="exact"/>
              <w:rPr>
                <w:rFonts w:hint="eastAsia" w:ascii="宋体" w:hAnsi="宋体" w:eastAsia="宋体" w:cs="宋体"/>
                <w:color w:val="000000"/>
                <w:sz w:val="24"/>
                <w:szCs w:val="24"/>
              </w:rPr>
            </w:pPr>
            <w:r>
              <w:rPr>
                <w:rFonts w:hint="eastAsia" w:asciiTheme="minorEastAsia" w:hAnsiTheme="minorEastAsia" w:eastAsiaTheme="minorEastAsia"/>
                <w:sz w:val="24"/>
                <w:szCs w:val="24"/>
              </w:rPr>
              <w:t xml:space="preserve">2、外观：尺寸，重量，颜色，标识等。完全符合要求得</w:t>
            </w:r>
            <w:r>
              <w:rPr>
                <w:rFonts w:hint="eastAsia" w:asciiTheme="minorEastAsia" w:hAnsiTheme="minorEastAsia" w:eastAsiaTheme="minorEastAsia"/>
                <w:sz w:val="24"/>
                <w:szCs w:val="24"/>
                <w:lang w:val="en-US" w:eastAsia="zh-CN"/>
              </w:rPr>
              <w:t xml:space="preserve">4</w:t>
            </w:r>
            <w:r>
              <w:rPr>
                <w:rFonts w:hint="eastAsia" w:asciiTheme="minorEastAsia" w:hAnsiTheme="minorEastAsia" w:eastAsiaTheme="minorEastAsia"/>
                <w:sz w:val="24"/>
                <w:szCs w:val="24"/>
              </w:rPr>
              <w:t xml:space="preserve">分；每有1处瑕疵（如尺寸与参数偏差过大、重量与参数偏差过大、颜色缺乏光泽度、存在色差、产品标识不全、不清楚等）扣</w:t>
            </w: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分，扣完为止。 </w:t>
            </w:r>
            <w:r/>
          </w:p>
        </w:tc>
      </w:tr>
      <w:tr>
        <w:trPr>
          <w:trHeight w:val="161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zh-CN"/>
              </w:rPr>
            </w:pPr>
            <w:r>
              <w:rPr>
                <w:rFonts w:hint="eastAsia" w:ascii="宋体" w:hAnsi="宋体" w:cs="宋体"/>
                <w:sz w:val="24"/>
                <w:szCs w:val="24"/>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20" w:lineRule="exact"/>
              <w:widowControl/>
              <w:rPr>
                <w:rFonts w:hint="eastAsia" w:ascii="宋体" w:hAnsi="宋体" w:eastAsia="宋体" w:cs="宋体"/>
                <w:bCs/>
                <w:color w:val="000000"/>
                <w:sz w:val="24"/>
                <w:szCs w:val="24"/>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售后及维保</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20" w:lineRule="exact"/>
              <w:widowControl/>
              <w:rPr>
                <w:rFonts w:hint="default" w:ascii="宋体" w:hAnsi="宋体" w:eastAsia="宋体" w:cs="宋体"/>
                <w:bCs/>
                <w:color w:val="000000"/>
                <w:sz w:val="24"/>
                <w:szCs w:val="24"/>
                <w:lang w:val="en-US" w:eastAsia="zh-CN"/>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822"/>
              <w:ind w:left="0" w:firstLine="0"/>
              <w:jc w:val="left"/>
              <w:spacing w:after="0" w:line="360" w:lineRule="auto"/>
              <w:rPr>
                <w:rFonts w:hint="eastAsia" w:ascii="宋体" w:hAnsi="宋体" w:eastAsia="宋体" w:cs="宋体"/>
                <w:color w:val="000000"/>
                <w:sz w:val="24"/>
                <w:szCs w:val="24"/>
                <w:lang w:eastAsia="zh-CN"/>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供应商提供售后服务方案，内容包括但不限于：①售后服务范围</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②售后服务点设置</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③售后服务人员配备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④拟投入的设施设备及车辆配备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⑤响应时间</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⑥售后服务承诺与保证书等</w:t>
            </w:r>
            <w:r>
              <w:rPr>
                <w:rFonts w:hint="eastAsia" w:ascii="宋体" w:hAnsi="宋体" w:eastAsia="宋体" w:cs="宋体"/>
                <w:color w:val="000000"/>
                <w:sz w:val="24"/>
                <w:szCs w:val="24"/>
                <w:lang w:eastAsia="zh-CN"/>
              </w:rPr>
              <w:t xml:space="preserve">内容进行评分。每项得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Theme="minorEastAsia" w:hAnsiTheme="minorEastAsia" w:eastAsiaTheme="minorEastAsia"/>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pStyle w:val="822"/>
              <w:ind w:left="0" w:firstLine="0"/>
              <w:jc w:val="left"/>
              <w:spacing w:after="0" w:line="360" w:lineRule="auto"/>
              <w:rPr>
                <w:rFonts w:hint="eastAsia" w:ascii="宋体" w:hAnsi="宋体" w:eastAsia="宋体" w:cs="宋体"/>
                <w:color w:val="000000"/>
                <w:sz w:val="24"/>
                <w:szCs w:val="24"/>
                <w:lang w:eastAsia="zh-CN"/>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供应商提供保修期维保方案，内容包括但不限于：①服务范围</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②响应时间及维保费用情况</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③常见故障及保修措施</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④</w:t>
            </w:r>
            <w:r>
              <w:rPr>
                <w:rFonts w:hint="eastAsia" w:cs="宋体" w:asciiTheme="minorEastAsia" w:hAnsiTheme="minorEastAsia" w:eastAsiaTheme="minorEastAsia"/>
                <w:color w:val="000000"/>
                <w:sz w:val="24"/>
                <w:szCs w:val="24"/>
              </w:rPr>
              <w:t xml:space="preserve">保修人员配备</w:t>
            </w:r>
            <w:r>
              <w:rPr>
                <w:rFonts w:hint="eastAsia" w:cs="宋体" w:asciiTheme="minorEastAsia" w:hAnsiTheme="minorEastAsia" w:eastAsiaTheme="minorEastAsia"/>
                <w:color w:val="000000"/>
                <w:sz w:val="24"/>
                <w:szCs w:val="24"/>
                <w:lang w:eastAsia="zh-CN"/>
              </w:rPr>
              <w:t xml:space="preserve">；</w:t>
            </w:r>
            <w:r>
              <w:rPr>
                <w:rFonts w:hint="eastAsia" w:asciiTheme="minorEastAsia" w:hAnsiTheme="minorEastAsia" w:eastAsiaTheme="minorEastAsia"/>
                <w:sz w:val="24"/>
                <w:szCs w:val="24"/>
              </w:rPr>
              <w:t xml:space="preserve">⑤零配件及重要消耗品的价格</w:t>
            </w:r>
            <w:r>
              <w:rPr>
                <w:rFonts w:hint="eastAsia" w:asciiTheme="minorEastAsia" w:hAnsiTheme="minorEastAsia" w:eastAsiaTheme="minorEastAsia"/>
                <w:sz w:val="24"/>
                <w:szCs w:val="24"/>
                <w:lang w:eastAsia="zh-CN"/>
              </w:rPr>
              <w:t xml:space="preserve">；</w:t>
            </w:r>
            <w:r>
              <w:rPr>
                <w:rFonts w:hint="eastAsia" w:cs="宋体" w:asciiTheme="minorEastAsia" w:hAnsiTheme="minorEastAsia" w:eastAsiaTheme="minorEastAsia"/>
                <w:color w:val="000000"/>
                <w:sz w:val="24"/>
                <w:szCs w:val="24"/>
              </w:rPr>
              <w:t xml:space="preserve">⑥</w:t>
            </w:r>
            <w:r>
              <w:rPr>
                <w:rFonts w:hint="eastAsia" w:asciiTheme="minorEastAsia" w:hAnsiTheme="minorEastAsia" w:eastAsiaTheme="minorEastAsia"/>
                <w:sz w:val="24"/>
                <w:szCs w:val="24"/>
              </w:rPr>
              <w:t xml:space="preserve">维保承诺与保证书等</w:t>
            </w:r>
            <w:r>
              <w:rPr>
                <w:rFonts w:hint="eastAsia" w:ascii="宋体" w:hAnsi="宋体" w:eastAsia="宋体" w:cs="宋体"/>
                <w:color w:val="000000"/>
                <w:sz w:val="24"/>
                <w:szCs w:val="24"/>
                <w:lang w:eastAsia="zh-CN"/>
              </w:rPr>
              <w:t xml:space="preserve">内容进行评分。每项得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zh-CN"/>
              </w:rPr>
            </w:pPr>
            <w:r>
              <w:rPr>
                <w:rFonts w:hint="eastAsia" w:ascii="宋体" w:hAnsi="宋体" w:cs="宋体"/>
                <w:sz w:val="24"/>
                <w:szCs w:val="24"/>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20" w:lineRule="exact"/>
              <w:widowControl/>
              <w:rPr>
                <w:rFonts w:hint="eastAsia" w:ascii="宋体" w:hAnsi="宋体" w:eastAsia="宋体" w:cs="宋体"/>
                <w:bCs/>
                <w:color w:val="000000"/>
                <w:sz w:val="24"/>
                <w:szCs w:val="24"/>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培训方案</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20" w:lineRule="exact"/>
              <w:widowControl/>
              <w:rPr>
                <w:rFonts w:hint="eastAsia" w:ascii="宋体" w:hAnsi="宋体" w:eastAsia="宋体" w:cs="宋体"/>
                <w:bCs/>
                <w:color w:val="000000"/>
                <w:sz w:val="24"/>
                <w:szCs w:val="24"/>
                <w:lang w:eastAsia="en-US"/>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822"/>
              <w:ind w:left="0" w:firstLine="0"/>
              <w:jc w:val="left"/>
              <w:spacing w:after="0" w:line="360" w:lineRule="auto"/>
              <w:rPr>
                <w:rFonts w:hint="eastAsia" w:ascii="宋体" w:hAnsi="宋体" w:eastAsia="宋体" w:cs="宋体"/>
                <w:color w:val="000000"/>
                <w:sz w:val="24"/>
                <w:szCs w:val="24"/>
                <w:lang w:eastAsia="zh-CN"/>
              </w:rPr>
            </w:pPr>
            <w:r>
              <w:rPr>
                <w:rFonts w:hint="eastAsia" w:asciiTheme="minorEastAsia" w:hAnsiTheme="minorEastAsia" w:eastAsiaTheme="minorEastAsia"/>
                <w:sz w:val="24"/>
                <w:szCs w:val="24"/>
              </w:rPr>
              <w:t xml:space="preserve">供应商提供的培训方案，内容包括但不限于：①人员培训方案</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②实施计划等</w:t>
            </w:r>
            <w:r>
              <w:rPr>
                <w:rFonts w:hint="eastAsia" w:ascii="宋体" w:hAnsi="宋体" w:eastAsia="宋体" w:cs="宋体"/>
                <w:color w:val="000000"/>
                <w:sz w:val="24"/>
                <w:szCs w:val="24"/>
                <w:lang w:eastAsia="zh-CN"/>
              </w:rPr>
              <w:t xml:space="preserve">内容进行评分。每项得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420" w:lineRule="exact"/>
              <w:widowControl/>
              <w:rPr>
                <w:rFonts w:hint="eastAsia" w:ascii="宋体" w:hAnsi="宋体" w:eastAsia="宋体" w:cs="宋体"/>
                <w:bCs/>
                <w:color w:val="000000"/>
                <w:sz w:val="24"/>
                <w:szCs w:val="24"/>
              </w:rPr>
            </w:pPr>
            <w:r>
              <w:rPr>
                <w:rFonts w:hint="eastAsia" w:ascii="宋体" w:hAnsi="宋体" w:cs="宋体"/>
                <w:color w:val="000000" w:themeColor="text1"/>
                <w:sz w:val="24"/>
                <w:szCs w:val="24"/>
                <w14:textFill>
                  <w14:solidFill>
                    <w14:schemeClr w14:val="tx1"/>
                  </w14:solidFill>
                </w14:textFill>
              </w:rPr>
              <w:t xml:space="preserve">延保服务</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420" w:lineRule="exact"/>
              <w:widowControl/>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420" w:lineRule="exact"/>
              <w:widowControl/>
              <w:rPr>
                <w:rFonts w:hint="eastAsia" w:ascii="宋体" w:hAnsi="宋体" w:eastAsia="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本项目质保期限为一年，在此基础上，每增加一年的质保期，加</w:t>
            </w:r>
            <w:r>
              <w:rPr>
                <w:rFonts w:hint="eastAsia" w:ascii="宋体" w:hAnsi="宋体" w:cs="宋体"/>
                <w:color w:val="000000" w:themeColor="text1"/>
                <w:sz w:val="24"/>
                <w:szCs w:val="24"/>
                <w:lang w:val="en-US" w:eastAsia="zh-CN"/>
                <w14:textFill>
                  <w14:solidFill>
                    <w14:schemeClr w14:val="tx1"/>
                  </w14:solidFill>
                </w14:textFill>
              </w:rPr>
              <w:t xml:space="preserve">0.5</w:t>
            </w:r>
            <w:r>
              <w:rPr>
                <w:rFonts w:hint="eastAsia" w:ascii="宋体" w:hAnsi="宋体" w:cs="宋体"/>
                <w:color w:val="000000" w:themeColor="text1"/>
                <w:sz w:val="24"/>
                <w:szCs w:val="24"/>
                <w14:textFill>
                  <w14:solidFill>
                    <w14:schemeClr w14:val="tx1"/>
                  </w14:solidFill>
                </w14:textFill>
              </w:rPr>
              <w:t xml:space="preserve">分，本项最高</w:t>
            </w:r>
            <w:r>
              <w:rPr>
                <w:rFonts w:hint="eastAsia" w:ascii="宋体" w:hAnsi="宋体" w:cs="宋体"/>
                <w:color w:val="000000" w:themeColor="text1"/>
                <w:sz w:val="24"/>
                <w:szCs w:val="24"/>
                <w:lang w:val="en-US" w:eastAsia="zh-CN"/>
                <w14:textFill>
                  <w14:solidFill>
                    <w14:schemeClr w14:val="tx1"/>
                  </w14:solidFill>
                </w14:textFill>
              </w:rPr>
              <w:t xml:space="preserve">得1</w:t>
            </w:r>
            <w:r>
              <w:rPr>
                <w:rFonts w:hint="eastAsia" w:ascii="宋体" w:hAnsi="宋体" w:cs="宋体"/>
                <w:color w:val="000000" w:themeColor="text1"/>
                <w:sz w:val="24"/>
                <w:szCs w:val="24"/>
                <w14:textFill>
                  <w14:solidFill>
                    <w14:schemeClr w14:val="tx1"/>
                  </w14:solidFill>
                </w14:textFill>
              </w:rPr>
              <w:t xml:space="preserve">分，提供承诺书并加盖公章，格式自拟。</w:t>
            </w:r>
            <w:r/>
          </w:p>
        </w:tc>
      </w:tr>
    </w:tbl>
    <w:p>
      <w:pPr>
        <w:ind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注：①如磋商文件内容顺序混乱，导致评委无法查看，后果自负。 </w:t>
      </w:r>
      <w:r/>
    </w:p>
    <w:p>
      <w:pPr>
        <w:ind w:firstLine="482"/>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sz w:val="24"/>
          <w:szCs w:val="24"/>
        </w:rPr>
      </w:pPr>
      <w:r>
        <w:rPr>
          <w:rFonts w:hint="eastAsia" w:ascii="宋体" w:hAnsi="宋体" w:cs="宋体"/>
          <w:b/>
          <w:sz w:val="24"/>
          <w:szCs w:val="24"/>
        </w:rPr>
        <w:t xml:space="preserve">(四）价格分：30分</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磋商报价得分=（磋商基准价/最后磋商报价）×价格权值×</w:t>
      </w:r>
      <w:r>
        <w:rPr>
          <w:rFonts w:hint="eastAsia" w:ascii="宋体" w:hAnsi="宋体" w:cs="宋体"/>
          <w:color w:val="000000"/>
          <w:sz w:val="24"/>
          <w:szCs w:val="24"/>
          <w:lang w:val="en-US" w:eastAsia="zh-CN"/>
        </w:rPr>
        <w:t xml:space="preserve">100</w:t>
      </w:r>
      <w:r>
        <w:rPr>
          <w:rFonts w:hint="eastAsia" w:ascii="宋体" w:hAnsi="宋体" w:cs="宋体"/>
          <w:color w:val="000000"/>
          <w:sz w:val="24"/>
          <w:szCs w:val="24"/>
          <w:lang w:val="en-GB"/>
        </w:rPr>
        <w:t xml:space="preserve">。</w:t>
      </w:r>
      <w:r/>
    </w:p>
    <w:p>
      <w:pPr>
        <w:ind w:firstLine="480"/>
        <w:spacing w:line="560" w:lineRule="exact"/>
        <w:rPr>
          <w:rFonts w:ascii="宋体" w:hAnsi="宋体"/>
          <w:sz w:val="24"/>
          <w:szCs w:val="24"/>
        </w:rPr>
      </w:pPr>
      <w:r>
        <w:rPr>
          <w:rFonts w:hint="eastAsia" w:ascii="宋体" w:hAnsi="宋体"/>
          <w:sz w:val="24"/>
          <w:szCs w:val="24"/>
        </w:rPr>
        <w:t xml:space="preserve">出现下列情形之一的，磋商小组应当启动异常低价响应审查程序：</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sz w:val="24"/>
          <w:szCs w:val="24"/>
        </w:rPr>
      </w:pPr>
      <w:r>
        <w:rPr>
          <w:rFonts w:hint="eastAsia" w:ascii="宋体" w:hAnsi="宋体"/>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sz w:val="24"/>
          <w:szCs w:val="24"/>
        </w:rPr>
      </w:pPr>
      <w:r>
        <w:rPr>
          <w:rFonts w:hint="eastAsia" w:ascii="宋体" w:hAnsi="宋体"/>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w:t>
      </w:r>
      <w:r>
        <w:rPr>
          <w:rFonts w:hint="eastAsia" w:ascii="宋体" w:hAnsi="宋体" w:cs="宋体"/>
          <w:b/>
          <w:color w:val="000000"/>
          <w:sz w:val="24"/>
          <w:szCs w:val="24"/>
        </w:rPr>
        <w:t xml:space="preserve">政府采购政策功能落实</w:t>
      </w:r>
      <w:r/>
    </w:p>
    <w:p>
      <w:pPr>
        <w:ind w:firstLine="480"/>
        <w:jc w:val="left"/>
        <w:spacing w:line="420" w:lineRule="exact"/>
        <w:rPr>
          <w:rFonts w:ascii="宋体" w:hAnsi="宋体"/>
          <w:sz w:val="24"/>
          <w:szCs w:val="24"/>
        </w:rPr>
      </w:pPr>
      <w:r/>
      <w:bookmarkStart w:id="173" w:name="_Hlk221545426"/>
      <w:r>
        <w:rPr>
          <w:rFonts w:hint="eastAsia" w:ascii="宋体" w:hAnsi="宋体"/>
          <w:sz w:val="24"/>
          <w:szCs w:val="24"/>
        </w:rPr>
        <w:t xml:space="preserve">1、小微型企业价格扣除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（1）本项目对小型和微型企业产品给予20%的扣除价格，用扣除后的价格参与评审。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（2）供应商需按照《政府采购促进中小企业发展管理办法》（财库﹝2020﹞46 号）的规定提供相应的《中小企业声明函》。</w:t>
      </w:r>
      <w:r/>
    </w:p>
    <w:p>
      <w:pPr>
        <w:ind w:firstLine="480"/>
        <w:jc w:val="left"/>
        <w:spacing w:line="42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20" w:lineRule="exact"/>
        <w:rPr>
          <w:rFonts w:ascii="宋体" w:hAnsi="宋体"/>
          <w:sz w:val="24"/>
          <w:szCs w:val="24"/>
        </w:rPr>
      </w:pPr>
      <w:r>
        <w:rPr>
          <w:rFonts w:hint="eastAsia" w:ascii="宋体" w:hAnsi="宋体"/>
          <w:sz w:val="24"/>
          <w:szCs w:val="24"/>
        </w:rPr>
        <w:t xml:space="preserve">（4）专门面向中小微企业采购的项目或者采购包，不再执行价格评审优惠的扶持政策。</w:t>
      </w:r>
      <w:r/>
    </w:p>
    <w:p>
      <w:pPr>
        <w:ind w:firstLine="480"/>
        <w:jc w:val="left"/>
        <w:spacing w:line="420" w:lineRule="exact"/>
        <w:rPr>
          <w:rFonts w:ascii="宋体" w:hAnsi="宋体"/>
          <w:sz w:val="24"/>
          <w:szCs w:val="24"/>
        </w:rPr>
      </w:pPr>
      <w:r/>
      <w:bookmarkStart w:id="174" w:name="OLE_LINK68"/>
      <w:r/>
      <w:bookmarkStart w:id="175" w:name="OLE_LINK69"/>
      <w:r>
        <w:rPr>
          <w:rFonts w:hint="eastAsia" w:ascii="宋体" w:hAnsi="宋体"/>
          <w:sz w:val="24"/>
          <w:szCs w:val="24"/>
        </w:rPr>
        <w:t xml:space="preserve">2、残疾人福利单位价格扣除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（1）本项目对残疾人福利性单位，给予20%的价格扣除，用扣除后的价格参与评审。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jc w:val="left"/>
        <w:spacing w:line="42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2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（1）本项目对监狱和戒毒企业（简称监狱企业）给予20%的价格扣除，用扣除后的价格参与评审。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jc w:val="left"/>
        <w:spacing w:line="42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20" w:lineRule="exact"/>
        <w:rPr>
          <w:rFonts w:ascii="宋体" w:hAnsi="宋体"/>
          <w:sz w:val="24"/>
          <w:szCs w:val="24"/>
        </w:rPr>
      </w:pPr>
      <w:r>
        <w:rPr>
          <w:rFonts w:hint="eastAsia" w:ascii="宋体" w:hAnsi="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jc w:val="left"/>
        <w:spacing w:line="42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6、联合体各方均为小型、微型企业（残疾人福利单位、监狱企业）的，联合体享受上述同类价格扣除，用扣除后的价格参与评审。</w:t>
      </w:r>
      <w:r/>
    </w:p>
    <w:p>
      <w:pPr>
        <w:ind w:firstLine="480"/>
        <w:spacing w:line="360" w:lineRule="auto"/>
        <w:rPr>
          <w:rFonts w:ascii="宋体" w:hAnsi="宋体" w:cs="宋体"/>
          <w:b/>
          <w:sz w:val="24"/>
          <w:szCs w:val="24"/>
        </w:rPr>
      </w:pPr>
      <w:r>
        <w:rPr>
          <w:rFonts w:hint="eastAsia" w:ascii="宋体" w:hAnsi="宋体" w:cs="宋体"/>
          <w:b/>
          <w:sz w:val="24"/>
          <w:szCs w:val="24"/>
        </w:rPr>
        <w:t xml:space="preserve">（六）成交供应商的确定</w:t>
      </w:r>
      <w:r/>
    </w:p>
    <w:p>
      <w:pPr>
        <w:ind w:firstLine="480"/>
        <w:spacing w:line="360" w:lineRule="auto"/>
        <w:rPr>
          <w:rFonts w:ascii="宋体" w:hAnsi="宋体" w:cs="宋体"/>
          <w:sz w:val="24"/>
          <w:szCs w:val="24"/>
        </w:rPr>
      </w:pPr>
      <w:r>
        <w:rPr>
          <w:rFonts w:hint="eastAsia" w:ascii="宋体" w:hAnsi="宋体" w:cs="宋体"/>
          <w:sz w:val="24"/>
          <w:szCs w:val="24"/>
        </w:rPr>
        <w:t xml:space="preserve">磋商小组汇总各评委评分后，按照得分从高到低的顺序推荐三名成交候选人，并编写评审报告。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采购人授权磋商小组在成交候选供应商中直接确定成交供应商。</w:t>
      </w:r>
      <w:r/>
    </w:p>
    <w:p>
      <w:pPr>
        <w:ind w:firstLine="480"/>
        <w:spacing w:line="360" w:lineRule="auto"/>
        <w:rPr>
          <w:rFonts w:ascii="宋体" w:hAnsi="宋体" w:cs="宋体"/>
          <w:b/>
          <w:sz w:val="24"/>
          <w:szCs w:val="24"/>
        </w:rPr>
      </w:pPr>
      <w:r>
        <w:rPr>
          <w:rFonts w:hint="eastAsia" w:ascii="宋体" w:hAnsi="宋体" w:cs="宋体"/>
          <w:b/>
          <w:sz w:val="24"/>
          <w:szCs w:val="24"/>
        </w:rPr>
        <w:t xml:space="preserve">（七）采购人代表宣布评审结果。</w:t>
      </w:r>
      <w:r/>
    </w:p>
    <w:p>
      <w:pPr>
        <w:ind w:firstLine="480"/>
        <w:spacing w:line="360" w:lineRule="auto"/>
        <w:rPr>
          <w:rFonts w:ascii="宋体" w:hAnsi="宋体" w:cs="宋体"/>
          <w:b/>
          <w:sz w:val="24"/>
          <w:szCs w:val="24"/>
        </w:rPr>
      </w:pPr>
      <w:r>
        <w:rPr>
          <w:rFonts w:hint="eastAsia" w:ascii="宋体" w:hAnsi="宋体" w:cs="宋体"/>
          <w:b/>
          <w:sz w:val="24"/>
          <w:szCs w:val="24"/>
        </w:rPr>
        <w:t xml:space="preserve">（八）公告成交结果</w:t>
      </w:r>
      <w:r/>
    </w:p>
    <w:p>
      <w:pPr>
        <w:ind w:firstLine="480"/>
        <w:spacing w:line="360" w:lineRule="auto"/>
        <w:rPr>
          <w:rFonts w:ascii="宋体" w:hAnsi="宋体" w:cs="宋体"/>
          <w:sz w:val="24"/>
          <w:szCs w:val="24"/>
        </w:rPr>
      </w:pPr>
      <w:r>
        <w:rPr>
          <w:rFonts w:hint="eastAsia" w:ascii="宋体" w:hAnsi="宋体" w:cs="宋体"/>
          <w:sz w:val="24"/>
          <w:szCs w:val="24"/>
        </w:rPr>
        <w:t xml:space="preserve">自确定成交供应商之日起2个工作日内，在江苏政府采购网公告成交结果，公告期限为1个工作日。</w:t>
      </w:r>
      <w:r/>
    </w:p>
    <w:p>
      <w:pPr>
        <w:ind w:firstLine="480"/>
        <w:spacing w:line="360" w:lineRule="auto"/>
        <w:rPr>
          <w:rFonts w:ascii="宋体" w:hAnsi="宋体" w:cs="宋体"/>
          <w:b/>
          <w:sz w:val="24"/>
          <w:szCs w:val="24"/>
        </w:rPr>
      </w:pPr>
      <w:r>
        <w:rPr>
          <w:rFonts w:hint="eastAsia" w:ascii="宋体" w:hAnsi="宋体" w:cs="宋体"/>
          <w:b/>
          <w:sz w:val="24"/>
          <w:szCs w:val="24"/>
        </w:rPr>
        <w:t xml:space="preserve">（九）发放成交通知书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公告成交结果的同时，采购人或采购代理机构向成交供应商发放成交通知书。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成交通知书发出后，采购人不得违法改变成交结果，成交供应商无正当理由不得放弃成交。</w:t>
      </w:r>
      <w:bookmarkEnd w:id="173"/>
      <w:r/>
      <w:bookmarkEnd w:id="174"/>
      <w:r/>
      <w:bookmarkEnd w:id="175"/>
      <w:r/>
      <w:r/>
    </w:p>
    <w:p>
      <w:pPr>
        <w:ind w:firstLine="480"/>
        <w:spacing w:line="47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2200"/>
        <w:jc w:val="both"/>
        <w:keepNext/>
        <w:rPr>
          <w:rFonts w:hint="eastAsia" w:ascii="宋体" w:hAnsi="宋体"/>
          <w:bCs/>
          <w:sz w:val="44"/>
          <w:szCs w:val="28"/>
        </w:rPr>
        <w:outlineLvl w:val="0"/>
      </w:pPr>
      <w:r>
        <w:rPr>
          <w:rFonts w:hint="eastAsia" w:ascii="宋体" w:hAnsi="宋体"/>
          <w:bCs/>
          <w:sz w:val="44"/>
          <w:szCs w:val="28"/>
        </w:rPr>
      </w:r>
      <w:r/>
    </w:p>
    <w:p>
      <w:pPr>
        <w:ind w:firstLine="2200"/>
        <w:jc w:val="both"/>
        <w:keepNext/>
        <w:rPr>
          <w:rFonts w:hint="eastAsia" w:ascii="宋体" w:hAnsi="宋体"/>
          <w:bCs/>
          <w:sz w:val="44"/>
          <w:szCs w:val="28"/>
        </w:rPr>
        <w:outlineLvl w:val="0"/>
      </w:pPr>
      <w:r>
        <w:rPr>
          <w:rFonts w:hint="eastAsia" w:ascii="宋体" w:hAnsi="宋体"/>
          <w:bCs/>
          <w:sz w:val="44"/>
          <w:szCs w:val="28"/>
        </w:rPr>
        <w:t xml:space="preserve">第五章  </w:t>
      </w:r>
      <w:bookmarkEnd w:id="172"/>
      <w:r>
        <w:rPr>
          <w:rFonts w:hint="eastAsia" w:ascii="宋体" w:hAnsi="宋体"/>
          <w:bCs/>
          <w:sz w:val="44"/>
          <w:szCs w:val="28"/>
        </w:rPr>
        <w:t xml:space="preserve">响应文件格式</w:t>
      </w:r>
      <w:r/>
    </w:p>
    <w:p>
      <w:pPr>
        <w:jc w:val="center"/>
        <w:rPr>
          <w:rFonts w:hint="eastAsia" w:ascii="宋体" w:hAnsi="宋体"/>
          <w:b/>
          <w:sz w:val="72"/>
          <w:szCs w:val="21"/>
        </w:rPr>
      </w:pPr>
      <w:r/>
      <w:bookmarkStart w:id="176" w:name="_Hlt26671244"/>
      <w:r/>
      <w:bookmarkEnd w:id="176"/>
      <w:r/>
      <w:bookmarkStart w:id="177" w:name="_Hlt26955039"/>
      <w:r/>
      <w:bookmarkEnd w:id="177"/>
      <w:r/>
      <w:bookmarkStart w:id="178" w:name="_Toc120614282"/>
      <w:r/>
      <w:bookmarkStart w:id="179" w:name="_Toc26554094"/>
      <w:r/>
      <w:bookmarkStart w:id="180"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ascii="宋体" w:hAnsi="宋体"/>
          <w:b/>
          <w:bCs/>
          <w:sz w:val="32"/>
          <w:szCs w:val="32"/>
        </w:rPr>
      </w:pPr>
      <w:r>
        <w:rPr>
          <w:rFonts w:ascii="宋体" w:hAnsi="宋体"/>
          <w:b/>
          <w:bCs/>
          <w:sz w:val="32"/>
          <w:szCs w:val="32"/>
        </w:rPr>
      </w:r>
      <w:r/>
    </w:p>
    <w:p>
      <w:pPr>
        <w:jc w:val="center"/>
        <w:spacing w:line="560" w:lineRule="exact"/>
        <w:rPr>
          <w:rFonts w:hint="eastAsia" w:ascii="宋体" w:hAnsi="宋体"/>
          <w:b/>
          <w:bCs/>
          <w:color w:val="000000"/>
          <w:sz w:val="44"/>
          <w:szCs w:val="44"/>
        </w:rPr>
      </w:pPr>
      <w:r>
        <w:rPr>
          <w:rFonts w:hint="eastAsia" w:ascii="宋体" w:hAnsi="宋体"/>
          <w:b/>
          <w:bCs/>
          <w:color w:val="000000"/>
          <w:sz w:val="44"/>
          <w:szCs w:val="44"/>
        </w:rPr>
        <w:br w:type="page" w:clear="all"/>
      </w:r>
      <w:r>
        <w:rPr>
          <w:rFonts w:hint="eastAsia" w:ascii="宋体" w:hAnsi="宋体"/>
          <w:b/>
          <w:bCs/>
          <w:color w:val="000000"/>
          <w:sz w:val="44"/>
          <w:szCs w:val="44"/>
        </w:rPr>
        <w:t xml:space="preserve">响应文件目录</w:t>
      </w:r>
      <w:r/>
    </w:p>
    <w:p>
      <w:pPr>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一、资格审查证明材料</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四、其他资料（如有）</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825"/>
        <w:ind w:firstLine="480"/>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640"/>
        <w:spacing w:line="560" w:lineRule="exact"/>
        <w:rPr>
          <w:rFonts w:hint="eastAsia" w:ascii="宋体" w:hAnsi="宋体"/>
          <w:color w:val="000000"/>
          <w:sz w:val="32"/>
          <w:szCs w:val="32"/>
        </w:rPr>
      </w:pPr>
      <w:r>
        <w:rPr>
          <w:rFonts w:hint="eastAsia" w:ascii="宋体" w:hAnsi="宋体"/>
          <w:color w:val="000000"/>
          <w:sz w:val="32"/>
          <w:szCs w:val="32"/>
        </w:rPr>
        <w:br w:type="page" w:clear="all"/>
      </w:r>
      <w:r>
        <w:rPr>
          <w:rFonts w:hint="eastAsia" w:ascii="宋体" w:hAnsi="宋体"/>
          <w:color w:val="000000"/>
          <w:sz w:val="32"/>
          <w:szCs w:val="32"/>
        </w:rPr>
        <w:t xml:space="preserve">一、资格审查证明材料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w:t>
      </w:r>
      <w:r/>
    </w:p>
    <w:p>
      <w:pPr>
        <w:ind w:firstLine="480"/>
        <w:spacing w:line="560" w:lineRule="exact"/>
        <w:rPr>
          <w:rFonts w:hint="eastAsia" w:ascii="宋体" w:hAnsi="宋体"/>
          <w:color w:val="000000"/>
          <w:sz w:val="24"/>
          <w:szCs w:val="24"/>
        </w:rPr>
      </w:pPr>
      <w:r>
        <w:rPr>
          <w:rFonts w:hint="eastAsia" w:ascii="宋体" w:hAnsi="宋体" w:cs="宋体"/>
          <w:color w:val="000000"/>
          <w:sz w:val="24"/>
        </w:rPr>
        <w:t xml:space="preserve">8.承诺函（格式见附件）；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9.磋商响应函（格式见附件）；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10.采购公告中“二、申请人的资格要求（二）”提供相应的佐证材料；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11.其它需要提交的资格审查证明材料。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rPr>
        <w:t xml:space="preserve"> </w:t>
      </w:r>
      <w:r>
        <w:rPr>
          <w:rFonts w:hint="eastAsia" w:ascii="宋体" w:hAnsi="宋体"/>
          <w:color w:val="000000"/>
          <w:sz w:val="24"/>
          <w:szCs w:val="24"/>
        </w:rPr>
        <w:t xml:space="preserve">报价总表（格式见附件）；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 中小企业声明函（格式见附件）；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w:t>
      </w:r>
      <w:r/>
    </w:p>
    <w:p>
      <w:pPr>
        <w:ind w:firstLine="480"/>
        <w:spacing w:line="560" w:lineRule="exact"/>
        <w:rPr>
          <w:rFonts w:hint="eastAsia" w:ascii="宋体" w:hAnsi="宋体"/>
          <w:color w:val="000000"/>
          <w:sz w:val="32"/>
          <w:szCs w:val="32"/>
          <w:u w:val="single"/>
        </w:rPr>
      </w:pPr>
      <w:r>
        <w:rPr>
          <w:rFonts w:hint="eastAsia" w:ascii="宋体" w:hAnsi="宋体"/>
          <w:color w:val="000000"/>
          <w:sz w:val="24"/>
          <w:szCs w:val="24"/>
        </w:rPr>
        <w:t xml:space="preserve">5.监狱和戒毒企业证明材料（如有）（格式见附件）</w:t>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br w:type="page" w:clear="all"/>
      </w:r>
      <w:r>
        <w:rPr>
          <w:rFonts w:hint="eastAsia" w:ascii="宋体" w:hAnsi="宋体"/>
          <w:sz w:val="32"/>
          <w:szCs w:val="32"/>
          <w:lang w:val="zh-CN"/>
        </w:rPr>
        <w:t xml:space="preserve">附件1</w:t>
      </w:r>
      <w:r/>
    </w:p>
    <w:p>
      <w:pPr>
        <w:jc w:val="center"/>
        <w:spacing w:line="360" w:lineRule="auto"/>
        <w:rPr>
          <w:rFonts w:ascii="宋体" w:hAns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hAnsi="宋体"/>
          <w:sz w:val="24"/>
          <w:szCs w:val="24"/>
        </w:rPr>
      </w:pPr>
      <w:r>
        <w:rPr>
          <w:rFonts w:ascii="宋体" w:hAnsi="宋体"/>
          <w:sz w:val="24"/>
          <w:szCs w:val="24"/>
        </w:rPr>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我方参加你方的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（项目名称）的投标，现我方向你方慎重承诺：</w:t>
      </w:r>
      <w:r/>
    </w:p>
    <w:p>
      <w:pPr>
        <w:ind w:left="448"/>
        <w:jc w:val="left"/>
        <w:spacing w:line="360" w:lineRule="auto"/>
        <w:widowControl/>
        <w:rPr>
          <w:rFonts w:ascii="宋体" w:hAnsi="宋体" w:cs="宋体"/>
          <w:sz w:val="24"/>
          <w:szCs w:val="24"/>
        </w:rPr>
      </w:pPr>
      <w:r>
        <w:rPr>
          <w:rFonts w:hint="eastAsia" w:ascii="宋体" w:hAnsi="宋体" w:cs="宋体"/>
          <w:sz w:val="24"/>
          <w:szCs w:val="24"/>
        </w:rPr>
        <w:t xml:space="preserve">本单位</w:t>
      </w:r>
      <w:r>
        <w:rPr>
          <w:rFonts w:hint="eastAsia" w:ascii="宋体" w:hAnsi="宋体" w:cs="宋体"/>
          <w:sz w:val="24"/>
          <w:szCs w:val="24"/>
          <w:u w:val="single"/>
        </w:rPr>
        <w:t xml:space="preserve">       </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hAnsi="宋体" w:cs="宋体"/>
          <w:color w:val="000000"/>
          <w:sz w:val="24"/>
          <w:szCs w:val="24"/>
        </w:rPr>
      </w:pPr>
      <w:r>
        <w:rPr>
          <w:rFonts w:ascii="宋体" w:hAnsi="宋体" w:cs="宋体"/>
          <w:color w:val="000000"/>
          <w:sz w:val="24"/>
          <w:szCs w:val="24"/>
        </w:rPr>
      </w:r>
      <w:r/>
    </w:p>
    <w:p>
      <w:pPr>
        <w:ind w:right="-512" w:firstLine="3840"/>
        <w:spacing w:line="360" w:lineRule="auto"/>
        <w:rPr>
          <w:rFonts w:ascii="宋体" w:hAns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hAns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szCs w:val="21"/>
          <w:u w:val="single"/>
        </w:rPr>
        <w:t xml:space="preserve">______</w:t>
      </w:r>
      <w:r>
        <w:rPr>
          <w:rFonts w:hint="eastAsia" w:ascii="宋体" w:hAnsi="宋体" w:cs="宋体"/>
          <w:color w:val="000000"/>
          <w:sz w:val="24"/>
          <w:szCs w:val="24"/>
        </w:rPr>
        <w:t xml:space="preserve">年</w:t>
      </w:r>
      <w:r>
        <w:rPr>
          <w:rFonts w:ascii="宋体" w:hAnsi="宋体"/>
          <w:bCs/>
          <w:szCs w:val="21"/>
          <w:u w:val="single"/>
        </w:rPr>
        <w:t xml:space="preserve">______</w:t>
      </w:r>
      <w:r>
        <w:rPr>
          <w:rFonts w:hint="eastAsia" w:ascii="宋体" w:hAnsi="宋体" w:cs="宋体"/>
          <w:color w:val="000000"/>
          <w:sz w:val="24"/>
          <w:szCs w:val="24"/>
        </w:rPr>
        <w:t xml:space="preserve">月</w:t>
      </w:r>
      <w:r>
        <w:rPr>
          <w:rFonts w:ascii="宋体" w:hAnsi="宋体"/>
          <w:bCs/>
          <w:szCs w:val="21"/>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hAns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hAnsi="宋体"/>
          <w:b/>
          <w:sz w:val="32"/>
          <w:szCs w:val="32"/>
        </w:rPr>
      </w:pPr>
      <w:r>
        <w:rPr>
          <w:rFonts w:ascii="宋体" w:hAnsi="宋体"/>
          <w:b/>
          <w:sz w:val="32"/>
          <w:szCs w:val="32"/>
        </w:rPr>
      </w:r>
      <w:r/>
    </w:p>
    <w:p>
      <w:pPr>
        <w:ind w:firstLine="643"/>
        <w:jc w:val="center"/>
        <w:rPr>
          <w:rFonts w:ascii="宋体" w:hAns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hAnsi="宋体"/>
          <w:b/>
          <w:bCs/>
          <w:sz w:val="44"/>
          <w:szCs w:val="44"/>
        </w:rPr>
      </w:pPr>
      <w:r>
        <w:rPr>
          <w:rFonts w:ascii="宋体" w:hAnsi="宋体"/>
          <w:b/>
          <w:bCs/>
          <w:sz w:val="44"/>
          <w:szCs w:val="44"/>
        </w:rPr>
      </w:r>
      <w:r/>
    </w:p>
    <w:p>
      <w:pPr>
        <w:ind w:firstLine="881"/>
        <w:jc w:val="center"/>
        <w:spacing w:line="460" w:lineRule="exact"/>
        <w:rPr>
          <w:rFonts w:ascii="宋体" w:hAnsi="宋体"/>
          <w:b/>
          <w:bCs/>
          <w:sz w:val="44"/>
          <w:szCs w:val="44"/>
        </w:rPr>
      </w:pPr>
      <w:r>
        <w:rPr>
          <w:rFonts w:ascii="宋体" w:hAnsi="宋体"/>
          <w:b/>
          <w:bCs/>
          <w:sz w:val="44"/>
          <w:szCs w:val="44"/>
        </w:rPr>
      </w:r>
      <w:r/>
    </w:p>
    <w:p>
      <w:pPr>
        <w:ind w:firstLine="482"/>
        <w:spacing w:line="500" w:lineRule="exact"/>
        <w:rPr>
          <w:rFonts w:ascii="宋体" w:hAnsi="宋体"/>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spacing w:line="500" w:lineRule="exact"/>
        <w:rPr>
          <w:rFonts w:ascii="宋体" w:hAnsi="宋体"/>
          <w:bCs/>
          <w:sz w:val="24"/>
          <w:szCs w:val="21"/>
        </w:rPr>
      </w:pPr>
      <w:r>
        <w:rPr>
          <w:rFonts w:ascii="宋体" w:hAnsi="宋体"/>
          <w:bCs/>
          <w:sz w:val="24"/>
          <w:szCs w:val="21"/>
        </w:rPr>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contextualSpacing/>
        <w:spacing w:line="400" w:lineRule="exact"/>
        <w:rPr>
          <w:rFonts w:ascii="宋体" w:hAnsi="宋体"/>
          <w:sz w:val="32"/>
          <w:szCs w:val="32"/>
          <w:lang w:val="zh-CN"/>
        </w:rPr>
      </w:pPr>
      <w:r>
        <w:rPr>
          <w:rFonts w:ascii="宋体" w:hAnsi="宋体"/>
          <w:sz w:val="24"/>
          <w:szCs w:val="21"/>
        </w:rPr>
        <w:br w:type="page" w:clear="all"/>
      </w:r>
      <w:r>
        <w:rPr>
          <w:rFonts w:hint="eastAsia" w:ascii="宋体" w:hAnsi="宋体"/>
          <w:sz w:val="32"/>
          <w:szCs w:val="32"/>
          <w:lang w:val="zh-CN"/>
        </w:rPr>
        <w:t xml:space="preserve">附件3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bookmarkEnd w:id="178"/>
      <w:r/>
      <w:bookmarkEnd w:id="179"/>
      <w:r/>
      <w:bookmarkEnd w:id="180"/>
      <w:r/>
      <w:r/>
    </w:p>
    <w:p>
      <w:pPr>
        <w:ind w:firstLine="480"/>
        <w:spacing w:line="44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bookmarkStart w:id="181" w:name="_Toc120614284"/>
      <w:r/>
      <w:r/>
    </w:p>
    <w:p>
      <w:pPr>
        <w:contextualSpacing/>
        <w:spacing w:line="400" w:lineRule="exact"/>
        <w:rPr>
          <w:rFonts w:ascii="宋体" w:hAnsi="宋体"/>
          <w:sz w:val="32"/>
          <w:szCs w:val="32"/>
          <w:lang w:val="zh-CN"/>
        </w:rPr>
      </w:pPr>
      <w:r>
        <w:rPr>
          <w:rFonts w:ascii="宋体" w:hAnsi="宋体"/>
          <w:bCs/>
          <w:sz w:val="24"/>
          <w:szCs w:val="21"/>
        </w:rPr>
        <w:br w:type="page" w:clear="all"/>
      </w:r>
      <w:r>
        <w:rPr>
          <w:rFonts w:hint="eastAsia" w:ascii="宋体" w:hAnsi="宋体"/>
          <w:sz w:val="32"/>
          <w:szCs w:val="32"/>
          <w:lang w:val="zh-CN"/>
        </w:rPr>
        <w:t xml:space="preserve">附件4</w:t>
      </w:r>
      <w:r/>
    </w:p>
    <w:p>
      <w:pPr>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本授权书声明：____________（供应商名称）授权________________（被授权人的姓名）为我方项目编号：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ind w:firstLine="1200"/>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p>
    <w:p>
      <w:pPr>
        <w:ind w:firstLine="480"/>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p>
    <w:p>
      <w:pPr>
        <w:ind w:firstLine="420"/>
        <w:rPr>
          <w:rFonts w:hint="eastAsia" w:ascii="宋体" w:hAnsi="宋体"/>
          <w:i/>
          <w:color w:val="000000"/>
          <w:sz w:val="24"/>
          <w:szCs w:val="24"/>
          <w:u w:val="single"/>
        </w:rPr>
      </w:pPr>
      <w:r>
        <w:rPr>
          <w:rFonts w:hint="eastAsia" w:ascii="宋体" w:hAnsi="宋体"/>
          <w:i/>
          <w:color w:val="000000"/>
          <w:sz w:val="24"/>
          <w:szCs w:val="24"/>
          <w:u w:val="single"/>
        </w:rPr>
      </w:r>
      <w:r/>
    </w:p>
    <w:p>
      <w:pPr>
        <w:rPr>
          <w:rFonts w:hint="eastAsia" w:ascii="宋体" w:hAnsi="宋体"/>
          <w:color w:val="000000"/>
          <w:szCs w:val="21"/>
        </w:rPr>
      </w:pPr>
      <w:r>
        <w:rPr>
          <w:rFonts w:hint="eastAsia" w:ascii="宋体" w:hAnsi="宋体"/>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ascii="宋体" w:hAnsi="宋体"/>
          <w:bCs/>
          <w:sz w:val="24"/>
          <w:szCs w:val="21"/>
        </w:rPr>
      </w:pPr>
      <w:r>
        <w:rPr>
          <w:rFonts w:ascii="宋体" w:hAnsi="宋体"/>
          <w:bCs/>
          <w:sz w:val="24"/>
          <w:szCs w:val="21"/>
        </w:rPr>
      </w:r>
      <w:r/>
    </w:p>
    <w:p>
      <w:pPr>
        <w:spacing w:line="400" w:lineRule="exact"/>
        <w:rPr>
          <w:rFonts w:ascii="宋体" w:hAnsi="宋体"/>
          <w:sz w:val="32"/>
        </w:rPr>
      </w:pPr>
      <w:r>
        <w:rPr>
          <w:rFonts w:ascii="宋体" w:hAnsi="宋体"/>
          <w:bCs/>
          <w:sz w:val="24"/>
          <w:szCs w:val="21"/>
        </w:rPr>
        <w:br w:type="page" w:clear="all"/>
      </w:r>
      <w:r>
        <w:rPr>
          <w:rFonts w:hint="eastAsia" w:ascii="宋体" w:hAnsi="宋体"/>
          <w:sz w:val="32"/>
        </w:rPr>
        <w:t xml:space="preserve">附件5</w:t>
      </w:r>
      <w:r/>
    </w:p>
    <w:p>
      <w:pPr>
        <w:jc w:val="center"/>
        <w:rPr>
          <w:rFonts w:ascii="宋体" w:hAnsi="宋体" w:cs="宋体"/>
          <w:bCs/>
          <w:sz w:val="32"/>
          <w:szCs w:val="32"/>
        </w:rPr>
      </w:pPr>
      <w:r>
        <w:rPr>
          <w:rFonts w:hint="eastAsia" w:ascii="宋体" w:hAnsi="宋体" w:cs="宋体"/>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contextualSpacing/>
        <w:spacing w:line="400" w:lineRule="exact"/>
        <w:rPr>
          <w:rFonts w:ascii="宋体" w:hAnsi="宋体"/>
          <w:sz w:val="32"/>
          <w:szCs w:val="32"/>
        </w:rPr>
      </w:pPr>
      <w:r>
        <w:rPr>
          <w:rFonts w:ascii="宋体" w:hAnsi="宋体"/>
          <w:sz w:val="32"/>
          <w:szCs w:val="32"/>
          <w:lang w:val="zh-CN"/>
        </w:rPr>
        <w:br w:type="page" w:clear="all"/>
      </w:r>
      <w:r>
        <w:rPr>
          <w:rFonts w:hint="eastAsia" w:ascii="宋体" w:hAnsi="宋体"/>
          <w:sz w:val="32"/>
          <w:szCs w:val="32"/>
          <w:lang w:val="zh-CN"/>
        </w:rPr>
        <w:t xml:space="preserve">附件6</w:t>
      </w:r>
      <w:r/>
    </w:p>
    <w:p>
      <w:pPr>
        <w:jc w:val="center"/>
        <w:spacing w:line="560" w:lineRule="exact"/>
        <w:rPr>
          <w:rFonts w:ascii="宋体" w:hAnsi="宋体"/>
          <w:b/>
          <w:bCs/>
          <w:sz w:val="32"/>
          <w:szCs w:val="32"/>
        </w:rPr>
      </w:pPr>
      <w:r>
        <w:rPr>
          <w:rFonts w:hint="eastAsia" w:ascii="宋体" w:hAnsi="宋体"/>
          <w:b/>
          <w:bCs/>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致：采购人</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ascii="宋体" w:hAnsi="宋体"/>
          <w:bCs/>
          <w:sz w:val="24"/>
          <w:szCs w:val="21"/>
        </w:rPr>
      </w:pPr>
      <w:r>
        <w:rPr>
          <w:rFonts w:ascii="宋体" w:hAnsi="宋体"/>
          <w:bCs/>
          <w:sz w:val="24"/>
          <w:szCs w:val="21"/>
        </w:rPr>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附件7</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819"/>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磋商文件要求的商务条款</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附件8</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819"/>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磋商文件要求的技术要求</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附件9</w:t>
      </w:r>
      <w:r/>
    </w:p>
    <w:p>
      <w:pPr>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p>
    <w:p>
      <w:pPr>
        <w:rPr>
          <w:rFonts w:ascii="宋体" w:hAnsi="宋体" w:cs="宋体"/>
          <w:sz w:val="28"/>
          <w:szCs w:val="28"/>
          <w:u w:val="single"/>
        </w:rPr>
      </w:pPr>
      <w:r>
        <w:rPr>
          <w:rFonts w:ascii="宋体" w:hAnsi="宋体" w:cs="宋体"/>
          <w:sz w:val="28"/>
          <w:szCs w:val="28"/>
        </w:rPr>
        <w:t xml:space="preserve">供应商全称（加盖公章）：</w:t>
      </w:r>
      <w:r/>
    </w:p>
    <w:p>
      <w:pPr>
        <w:rPr>
          <w:rFonts w:ascii="宋体" w:hAnsi="宋体" w:cs="宋体"/>
          <w:sz w:val="28"/>
          <w:szCs w:val="28"/>
          <w:u w:val="single"/>
        </w:rPr>
      </w:pPr>
      <w:r>
        <w:rPr>
          <w:rFonts w:ascii="宋体" w:hAnsi="宋体" w:cs="宋体"/>
          <w:sz w:val="28"/>
          <w:szCs w:val="28"/>
        </w:rPr>
        <w:t xml:space="preserve">项目名称：</w:t>
      </w:r>
      <w:r/>
    </w:p>
    <w:p>
      <w:pPr>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8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货物、服务名称</w:t>
            </w:r>
            <w:r/>
          </w:p>
        </w:tc>
        <w:tc>
          <w:tcPr>
            <w:tcW w:w="4607"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报价</w:t>
            </w:r>
            <w:r/>
          </w:p>
        </w:tc>
      </w:tr>
      <w:tr>
        <w:trPr>
          <w:trHeight w:val="1091"/>
        </w:trPr>
        <w:tc>
          <w:tcPr>
            <w:tcW w:w="4148" w:type="dxa"/>
            <w:vAlign w:val="top"/>
            <w:textDirection w:val="lrTb"/>
            <w:noWrap w:val="false"/>
          </w:tcPr>
          <w:p>
            <w:pPr>
              <w:spacing w:line="560" w:lineRule="exact"/>
              <w:rPr>
                <w:rFonts w:ascii="宋体" w:hAnsi="宋体"/>
              </w:rPr>
            </w:pPr>
            <w:r>
              <w:rPr>
                <w:rFonts w:ascii="宋体" w:hAnsi="宋体"/>
              </w:rPr>
            </w:r>
            <w:r/>
          </w:p>
        </w:tc>
        <w:tc>
          <w:tcPr>
            <w:tcW w:w="4607" w:type="dxa"/>
            <w:vAlign w:val="top"/>
            <w:textDirection w:val="lrTb"/>
            <w:noWrap w:val="false"/>
          </w:tcPr>
          <w:p>
            <w:pPr>
              <w:spacing w:line="560" w:lineRule="exact"/>
              <w:rPr>
                <w:rFonts w:hint="eastAsia" w:ascii="宋体" w:hAnsi="宋体" w:cs="宋体"/>
                <w:sz w:val="28"/>
                <w:szCs w:val="28"/>
              </w:rPr>
            </w:pPr>
            <w:r>
              <w:rPr>
                <w:rFonts w:ascii="宋体" w:hAnsi="宋体" w:cs="宋体"/>
                <w:sz w:val="28"/>
                <w:szCs w:val="28"/>
              </w:rPr>
              <w:t xml:space="preserve">大写：</w:t>
            </w:r>
            <w:r/>
          </w:p>
          <w:p>
            <w:pPr>
              <w:spacing w:line="560" w:lineRule="exact"/>
              <w:rPr>
                <w:rFonts w:ascii="宋体" w:hAnsi="宋体"/>
                <w:u w:val="single"/>
              </w:rPr>
            </w:pPr>
            <w:r>
              <w:rPr>
                <w:rFonts w:ascii="宋体" w:hAnsi="宋体" w:cs="宋体"/>
                <w:sz w:val="28"/>
                <w:szCs w:val="28"/>
              </w:rPr>
              <w:t xml:space="preserve">小写：元（人民币）</w:t>
            </w:r>
            <w:r/>
          </w:p>
        </w:tc>
      </w:tr>
      <w:tr>
        <w:trPr/>
        <w:tc>
          <w:tcPr>
            <w:tcW w:w="4148" w:type="dxa"/>
            <w:vAlign w:val="top"/>
            <w:textDirection w:val="lrTb"/>
            <w:noWrap w:val="false"/>
          </w:tcPr>
          <w:p>
            <w:pPr>
              <w:spacing w:line="560" w:lineRule="exact"/>
              <w:rPr>
                <w:rFonts w:ascii="宋体" w:hAnsi="宋体"/>
              </w:rPr>
            </w:pPr>
            <w:r>
              <w:rPr>
                <w:rFonts w:ascii="宋体" w:hAnsi="宋体" w:cs="宋体"/>
                <w:sz w:val="28"/>
                <w:szCs w:val="28"/>
              </w:rPr>
              <w:t xml:space="preserve">主要货物、服务制造商及产地</w:t>
            </w:r>
            <w:r/>
          </w:p>
        </w:tc>
        <w:tc>
          <w:tcPr>
            <w:tcW w:w="4607" w:type="dxa"/>
            <w:vAlign w:val="top"/>
            <w:textDirection w:val="lrTb"/>
            <w:noWrap w:val="false"/>
          </w:tcPr>
          <w:p>
            <w:pPr>
              <w:spacing w:line="560" w:lineRule="exact"/>
              <w:rPr>
                <w:rFonts w:ascii="宋体" w:hAnsi="宋体"/>
              </w:rPr>
            </w:pPr>
            <w:r>
              <w:rPr>
                <w:rFonts w:ascii="宋体" w:hAnsi="宋体"/>
              </w:rPr>
            </w:r>
            <w:r/>
          </w:p>
        </w:tc>
      </w:tr>
      <w:tr>
        <w:trPr>
          <w:trHeight w:val="481"/>
        </w:trPr>
        <w:tc>
          <w:tcPr>
            <w:tcW w:w="4148" w:type="dxa"/>
            <w:vAlign w:val="top"/>
            <w:textDirection w:val="lrTb"/>
            <w:noWrap w:val="false"/>
          </w:tcPr>
          <w:p>
            <w:pPr>
              <w:spacing w:line="560" w:lineRule="exact"/>
              <w:rPr>
                <w:rFonts w:ascii="宋体" w:hAnsi="宋体"/>
              </w:rPr>
            </w:pPr>
            <w:r>
              <w:rPr>
                <w:rFonts w:hint="eastAsia" w:ascii="宋体" w:hAnsi="宋体" w:cs="宋体"/>
                <w:sz w:val="28"/>
                <w:szCs w:val="28"/>
              </w:rPr>
              <w:t xml:space="preserve">核心产品品牌（如有）</w:t>
            </w:r>
            <w:r/>
          </w:p>
        </w:tc>
        <w:tc>
          <w:tcPr>
            <w:tcW w:w="4607" w:type="dxa"/>
            <w:vAlign w:val="top"/>
            <w:textDirection w:val="lrTb"/>
            <w:noWrap w:val="false"/>
          </w:tcPr>
          <w:p>
            <w:pPr>
              <w:spacing w:line="560" w:lineRule="exact"/>
              <w:rPr>
                <w:rFonts w:ascii="宋体" w:hAnsi="宋体"/>
              </w:rPr>
            </w:pPr>
            <w:r>
              <w:rPr>
                <w:rFonts w:ascii="宋体" w:hAnsi="宋体"/>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ascii="宋体" w:hAnsi="宋体"/>
          <w:sz w:val="32"/>
          <w:szCs w:val="32"/>
        </w:rPr>
      </w:pPr>
      <w:r>
        <w:rPr>
          <w:rFonts w:ascii="宋体" w:hAnsi="宋体"/>
          <w:sz w:val="32"/>
          <w:szCs w:val="32"/>
        </w:rPr>
        <w:br w:type="page" w:clear="all"/>
      </w:r>
      <w:r>
        <w:rPr>
          <w:rFonts w:hint="eastAsia" w:ascii="宋体" w:hAnsi="宋体"/>
          <w:sz w:val="32"/>
          <w:szCs w:val="32"/>
          <w:lang w:val="zh-CN"/>
        </w:rPr>
        <w:t xml:space="preserve">附件10</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宋体" w:hAnsi="宋体"/>
          <w:sz w:val="32"/>
          <w:szCs w:val="32"/>
        </w:rPr>
      </w:pPr>
      <w:r>
        <w:rPr>
          <w:rFonts w:hint="eastAsia" w:ascii="宋体" w:hAnsi="宋体"/>
          <w:b/>
          <w:bCs/>
          <w:sz w:val="32"/>
          <w:szCs w:val="32"/>
        </w:rPr>
        <w:t xml:space="preserve">分项报价明细表（货物类）</w:t>
      </w:r>
      <w:r/>
    </w:p>
    <w:p>
      <w:pPr>
        <w:spacing w:line="400" w:lineRule="exact"/>
        <w:rPr>
          <w:rFonts w:ascii="宋体" w:hAnsi="宋体"/>
          <w:color w:val="000000"/>
          <w:sz w:val="28"/>
          <w:szCs w:val="28"/>
        </w:rPr>
      </w:pPr>
      <w:r>
        <w:rPr>
          <w:rFonts w:hint="eastAsia" w:ascii="宋体" w:hAnsi="宋体"/>
          <w:sz w:val="28"/>
          <w:szCs w:val="28"/>
        </w:rPr>
        <w:t xml:space="preserve">供应商（盖章）：</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合计</w:t>
            </w:r>
            <w:r/>
          </w:p>
        </w:tc>
        <w:tc>
          <w:tcPr>
            <w:gridSpan w:val="8"/>
            <w:tcW w:w="886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sz w:val="32"/>
          <w:szCs w:val="32"/>
        </w:rPr>
        <w:outlineLvl w:val="0"/>
      </w:pPr>
      <w:r>
        <w:rPr>
          <w:rFonts w:ascii="宋体" w:hAnsi="宋体" w:cs="Arial"/>
          <w:b/>
          <w:sz w:val="24"/>
          <w:szCs w:val="44"/>
        </w:rPr>
        <w:br w:type="page" w:clear="all"/>
      </w:r>
      <w:r>
        <w:rPr>
          <w:rFonts w:hint="eastAsia" w:ascii="宋体" w:hAnsi="宋体"/>
          <w:sz w:val="32"/>
          <w:szCs w:val="32"/>
          <w:lang w:val="zh-CN"/>
        </w:rPr>
        <w:t xml:space="preserve">附件11</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本公司（联合体）郑重声明，根据《政府采购促进中小企业发展管理办法》（财库﹝2020﹞46 号）的规定，本公司（联合体）参加</w:t>
      </w:r>
      <w:r>
        <w:rPr>
          <w:rFonts w:hint="eastAsia" w:ascii="宋体" w:hAnsi="宋体" w:cs="宋体"/>
          <w:sz w:val="24"/>
          <w:szCs w:val="24"/>
          <w:u w:val="single"/>
          <w:lang w:bidi="zh-CN"/>
        </w:rPr>
        <w:t xml:space="preserve">（单位名称）</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（项目名称）</w:t>
      </w:r>
      <w:r>
        <w:rPr>
          <w:rFonts w:hint="eastAsia" w:ascii="宋体" w:hAnsi="宋体" w:cs="宋体"/>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1.</w:t>
      </w:r>
      <w:r>
        <w:rPr>
          <w:rFonts w:hint="eastAsia" w:ascii="宋体" w:hAnsi="宋体" w:cs="宋体"/>
          <w:sz w:val="24"/>
          <w:szCs w:val="24"/>
          <w:u w:val="single"/>
          <w:lang w:bidi="zh-CN"/>
        </w:rPr>
        <w:t xml:space="preserve"> （标的名称）</w:t>
      </w:r>
      <w:r>
        <w:rPr>
          <w:rFonts w:hint="eastAsia" w:ascii="宋体" w:hAnsi="宋体" w:cs="宋体"/>
          <w:sz w:val="24"/>
          <w:szCs w:val="24"/>
          <w:lang w:bidi="zh-CN"/>
        </w:rPr>
        <w:t xml:space="preserve"> ，属于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bookmarkStart w:id="182" w:name="OLE_LINK77"/>
      <w:r/>
      <w:bookmarkStart w:id="183" w:name="OLE_LINK76"/>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bookmarkEnd w:id="182"/>
      <w:r/>
      <w:bookmarkEnd w:id="183"/>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2.</w:t>
      </w:r>
      <w:r>
        <w:rPr>
          <w:rFonts w:hint="eastAsia" w:ascii="宋体" w:hAnsi="宋体" w:cs="宋体"/>
          <w:i/>
          <w:sz w:val="24"/>
          <w:szCs w:val="24"/>
          <w:u w:val="single"/>
          <w:lang w:bidi="zh-CN"/>
        </w:rPr>
        <w:t xml:space="preserve"> </w:t>
      </w:r>
      <w:r>
        <w:rPr>
          <w:rFonts w:hint="eastAsia" w:ascii="宋体" w:hAnsi="宋体" w:cs="宋体"/>
          <w:sz w:val="24"/>
          <w:szCs w:val="24"/>
          <w:u w:val="single"/>
          <w:lang w:bidi="zh-CN"/>
        </w:rPr>
        <w:t xml:space="preserve">（标的名称） </w:t>
      </w:r>
      <w:r>
        <w:rPr>
          <w:rFonts w:hint="eastAsia" w:ascii="宋体" w:hAnsi="宋体" w:cs="宋体"/>
          <w:sz w:val="24"/>
          <w:szCs w:val="24"/>
          <w:lang w:bidi="zh-CN"/>
        </w:rPr>
        <w:t xml:space="preserve">，属于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8"/>
          <w:szCs w:val="28"/>
          <w:lang w:bidi="zh-CN"/>
        </w:rPr>
        <w:outlineLvl w:val="0"/>
      </w:pPr>
      <w:r>
        <w:rPr>
          <w:rFonts w:hint="eastAsia" w:ascii="宋体" w:hAnsi="宋体" w:cs="宋体"/>
          <w:sz w:val="24"/>
          <w:szCs w:val="24"/>
          <w:lang w:bidi="zh-CN"/>
        </w:rPr>
        <w:t xml:space="preserve">本企业对上述声明内容的真实性负责。如有虚假，将依法承担相应责任。</w:t>
      </w:r>
      <w:r/>
    </w:p>
    <w:p>
      <w:pPr>
        <w:ind w:firstLine="4200"/>
        <w:spacing w:line="300" w:lineRule="auto"/>
        <w:rPr>
          <w:rFonts w:hint="eastAsia" w:ascii="宋体" w:hAnsi="宋体"/>
          <w:sz w:val="24"/>
          <w:szCs w:val="24"/>
          <w:lang w:bidi="zh-CN"/>
        </w:rPr>
        <w:outlineLvl w:val="0"/>
      </w:pPr>
      <w:r>
        <w:rPr>
          <w:rFonts w:ascii="宋体" w:hAnsi="宋体"/>
          <w:sz w:val="24"/>
          <w:szCs w:val="24"/>
          <w:lang w:bidi="zh-CN"/>
        </w:rPr>
        <w:t xml:space="preserve">企业名称（盖章）：</w:t>
      </w:r>
      <w:r/>
    </w:p>
    <w:p>
      <w:pPr>
        <w:ind w:firstLine="4200"/>
        <w:spacing w:line="300" w:lineRule="auto"/>
        <w:rPr>
          <w:rFonts w:ascii="宋体" w:hAnsi="宋体"/>
          <w:sz w:val="28"/>
          <w:szCs w:val="28"/>
          <w:lang w:bidi="zh-CN"/>
        </w:rPr>
        <w:outlineLvl w:val="0"/>
      </w:pPr>
      <w:r>
        <w:rPr>
          <w:rFonts w:ascii="宋体" w:hAnsi="宋体"/>
          <w:sz w:val="24"/>
          <w:szCs w:val="24"/>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szCs w:val="21"/>
        </w:rPr>
      </w:pPr>
      <w:r>
        <w:rPr>
          <w:rFonts w:hint="eastAsia" w:ascii="宋体" w:hAnsi="宋体" w:cs="宋体"/>
          <w:szCs w:val="21"/>
        </w:rPr>
        <w:t xml:space="preserve">《中小企业划型标准规定》（工信部联企业〔2011〕300号）</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行业名称</w:t>
            </w:r>
            <w:r/>
          </w:p>
        </w:tc>
        <w:tc>
          <w:tcPr>
            <w:tcW w:w="154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指标名称</w:t>
            </w:r>
            <w:r/>
          </w:p>
        </w:tc>
        <w:tc>
          <w:tcPr>
            <w:tcW w:w="7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计量</w:t>
            </w:r>
            <w:r/>
          </w:p>
          <w:p>
            <w:pPr>
              <w:jc w:val="center"/>
              <w:rPr>
                <w:rFonts w:ascii="宋体" w:hAnsi="宋体" w:cs="宋体"/>
                <w:b/>
                <w:szCs w:val="21"/>
              </w:rPr>
            </w:pPr>
            <w:r>
              <w:rPr>
                <w:rFonts w:hint="eastAsia" w:ascii="宋体" w:hAnsi="宋体" w:cs="宋体"/>
                <w:b/>
                <w:szCs w:val="21"/>
              </w:rPr>
              <w:t xml:space="preserve">单位</w:t>
            </w:r>
            <w:r/>
          </w:p>
        </w:tc>
        <w:tc>
          <w:tcPr>
            <w:tcW w:w="203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中型</w:t>
            </w:r>
            <w:r/>
          </w:p>
        </w:tc>
        <w:tc>
          <w:tcPr>
            <w:tcW w:w="177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小型</w:t>
            </w:r>
            <w:r/>
          </w:p>
        </w:tc>
        <w:tc>
          <w:tcPr>
            <w:tcW w:w="115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工业</w:t>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从业人员（X）</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人</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300≤X&lt;1000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20≤X&lt;300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营业收入（Y）</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万元</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2000≤Y&lt;40000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300≤Y&lt;2000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Y&lt;300</w:t>
            </w:r>
            <w:r/>
          </w:p>
        </w:tc>
      </w:tr>
    </w:tbl>
    <w:p>
      <w:pPr>
        <w:spacing w:line="460" w:lineRule="exact"/>
        <w:rPr>
          <w:rFonts w:hint="eastAsia" w:ascii="宋体" w:hAnsi="宋体"/>
          <w:sz w:val="24"/>
          <w:szCs w:val="21"/>
        </w:rPr>
      </w:pPr>
      <w:r>
        <w:rPr>
          <w:rFonts w:hint="eastAsia" w:ascii="宋体" w:hAnsi="宋体" w:cs="宋体"/>
          <w:szCs w:val="21"/>
        </w:rPr>
        <w:t xml:space="preserve">说明：大型、中型和小型企业须同时满足所列指标的下限，否则下划一档；微型企业只须满足所列指标中的一项即可。</w:t>
      </w:r>
      <w:r/>
    </w:p>
    <w:p>
      <w:pPr>
        <w:spacing w:line="300" w:lineRule="auto"/>
        <w:rPr>
          <w:rFonts w:ascii="宋体" w:hAnsi="宋体"/>
          <w:sz w:val="32"/>
          <w:szCs w:val="32"/>
        </w:rPr>
        <w:outlineLvl w:val="0"/>
      </w:pPr>
      <w:r>
        <w:rPr>
          <w:rFonts w:ascii="宋体" w:hAnsi="宋体"/>
          <w:sz w:val="32"/>
          <w:szCs w:val="32"/>
        </w:rPr>
        <w:br w:type="page" w:clear="all"/>
      </w:r>
      <w:r>
        <w:rPr>
          <w:rFonts w:hint="eastAsia" w:ascii="宋体" w:hAnsi="宋体"/>
          <w:sz w:val="32"/>
          <w:szCs w:val="32"/>
          <w:lang w:val="zh-CN"/>
        </w:rPr>
        <w:t xml:space="preserve">附件12</w:t>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300" w:lineRule="auto"/>
        <w:rPr>
          <w:rFonts w:ascii="宋体" w:hAnsi="宋体"/>
          <w:sz w:val="32"/>
          <w:szCs w:val="32"/>
        </w:rPr>
        <w:outlineLvl w:val="0"/>
      </w:pPr>
      <w:r>
        <w:rPr>
          <w:rFonts w:hint="eastAsia" w:ascii="宋体" w:hAnsi="宋体"/>
          <w:sz w:val="32"/>
          <w:szCs w:val="32"/>
          <w:lang w:val="zh-CN"/>
        </w:rPr>
        <w:t xml:space="preserve">附件13</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6"/>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sz w:val="28"/>
          <w:szCs w:val="28"/>
        </w:rPr>
        <w:t xml:space="preserve">2、成交供应商为监狱企业的，此声明函将随成交结果同时公告，</w:t>
      </w:r>
      <w:r/>
    </w:p>
    <w:p>
      <w:pPr>
        <w:spacing w:line="300" w:lineRule="auto"/>
        <w:rPr>
          <w:rFonts w:hint="eastAsia" w:ascii="宋体" w:hAnsi="宋体"/>
          <w:sz w:val="28"/>
          <w:szCs w:val="28"/>
        </w:rPr>
        <w:outlineLvl w:val="0"/>
      </w:pPr>
      <w:r>
        <w:rPr>
          <w:rFonts w:hint="eastAsia" w:ascii="宋体" w:hAnsi="宋体"/>
          <w:sz w:val="28"/>
          <w:szCs w:val="28"/>
        </w:rPr>
        <w:t xml:space="preserve">接受社会监督。供应商按照本办法规定提供声明函内容不实的，属于</w:t>
      </w:r>
      <w:r/>
    </w:p>
    <w:p>
      <w:pPr>
        <w:spacing w:line="300" w:lineRule="auto"/>
        <w:rPr>
          <w:rFonts w:hint="eastAsia" w:ascii="宋体" w:hAnsi="宋体"/>
          <w:sz w:val="28"/>
          <w:szCs w:val="28"/>
        </w:rPr>
        <w:outlineLvl w:val="0"/>
      </w:pPr>
      <w:r>
        <w:rPr>
          <w:rFonts w:hint="eastAsia" w:ascii="宋体" w:hAnsi="宋体"/>
          <w:sz w:val="28"/>
          <w:szCs w:val="28"/>
        </w:rPr>
        <w:t xml:space="preserve">提供虚假材料谋取中标、成交，依照《中华人民共和国政府采购法》</w:t>
      </w:r>
      <w:r/>
    </w:p>
    <w:p>
      <w:pPr>
        <w:spacing w:line="300" w:lineRule="auto"/>
        <w:rPr>
          <w:rFonts w:hint="eastAsia" w:ascii="宋体" w:hAnsi="宋体"/>
          <w:sz w:val="28"/>
          <w:szCs w:val="28"/>
        </w:rPr>
        <w:outlineLvl w:val="0"/>
      </w:pPr>
      <w:r>
        <w:rPr>
          <w:rFonts w:hint="eastAsia" w:ascii="宋体" w:hAnsi="宋体"/>
          <w:sz w:val="28"/>
          <w:szCs w:val="28"/>
        </w:rPr>
        <w:t xml:space="preserve">等国家有关规定追究相应责任。</w:t>
      </w:r>
      <w:r/>
    </w:p>
    <w:p>
      <w:pPr>
        <w:spacing w:line="300" w:lineRule="auto"/>
        <w:rPr>
          <w:rFonts w:hint="eastAsia" w:ascii="宋体" w:hAnsi="宋体"/>
          <w:sz w:val="28"/>
          <w:szCs w:val="28"/>
        </w:rPr>
        <w:outlineLvl w:val="0"/>
      </w:pPr>
      <w:r>
        <w:rPr>
          <w:rFonts w:hint="eastAsia" w:ascii="宋体" w:hAnsi="宋体"/>
          <w:sz w:val="28"/>
          <w:szCs w:val="28"/>
        </w:rPr>
      </w:r>
      <w:r/>
    </w:p>
    <w:p>
      <w:pPr>
        <w:ind w:firstLine="360"/>
        <w:spacing w:line="560" w:lineRule="exact"/>
        <w:rPr>
          <w:rFonts w:hint="eastAsia" w:ascii="宋体" w:hAnsi="宋体"/>
          <w:sz w:val="36"/>
          <w:szCs w:val="36"/>
        </w:rPr>
      </w:pPr>
      <w:r>
        <w:rPr>
          <w:rFonts w:hint="eastAsia" w:ascii="宋体" w:hAnsi="宋体"/>
          <w:sz w:val="36"/>
          <w:szCs w:val="36"/>
        </w:rPr>
      </w:r>
      <w:r/>
    </w:p>
    <w:p>
      <w:pPr>
        <w:spacing w:line="300" w:lineRule="auto"/>
        <w:rPr>
          <w:rFonts w:hint="eastAsia" w:ascii="宋体" w:hAnsi="宋体"/>
          <w:sz w:val="32"/>
          <w:szCs w:val="32"/>
        </w:rPr>
        <w:outlineLvl w:val="0"/>
      </w:pPr>
      <w:r>
        <w:rPr>
          <w:rFonts w:ascii="宋体" w:hAnsi="宋体"/>
          <w:b/>
          <w:sz w:val="32"/>
          <w:szCs w:val="32"/>
        </w:rPr>
        <w:br w:type="page" w:clear="all"/>
      </w:r>
      <w:r>
        <w:rPr>
          <w:rFonts w:hint="eastAsia" w:ascii="宋体" w:hAnsi="宋体"/>
          <w:sz w:val="32"/>
          <w:szCs w:val="32"/>
          <w:lang w:val="zh-CN"/>
        </w:rPr>
        <w:t xml:space="preserve">附件14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hint="eastAsia" w:ascii="宋体" w:hAnsi="宋体"/>
          <w:b/>
          <w:color w:val="000000"/>
          <w:sz w:val="24"/>
          <w:szCs w:val="24"/>
        </w:rPr>
      </w:pPr>
      <w:r>
        <w:rPr>
          <w:rFonts w:hint="eastAsia" w:ascii="宋体" w:hAnsi="宋体"/>
          <w:b/>
          <w:color w:val="000000"/>
          <w:sz w:val="24"/>
          <w:szCs w:val="24"/>
        </w:rPr>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bookmarkEnd w:id="181"/>
      <w:r/>
      <w:r/>
    </w:p>
    <w:p>
      <w:pPr>
        <w:jc w:val="center"/>
        <w:spacing w:line="560" w:lineRule="exact"/>
        <w:rPr>
          <w:rFonts w:hint="eastAsia" w:ascii="宋体" w:hAnsi="宋体"/>
          <w:b/>
          <w:sz w:val="32"/>
          <w:szCs w:val="32"/>
        </w:rPr>
      </w:pPr>
      <w:r>
        <w:rPr>
          <w:rFonts w:hint="eastAsia" w:ascii="宋体" w:hAnsi="宋体"/>
          <w:b/>
          <w:sz w:val="32"/>
          <w:szCs w:val="32"/>
        </w:rPr>
      </w:r>
      <w:r/>
    </w:p>
    <w:p>
      <w:pPr>
        <w:spacing w:line="300" w:lineRule="auto"/>
        <w:rPr>
          <w:rFonts w:hint="eastAsia" w:ascii="宋体" w:hAnsi="宋体"/>
          <w:b/>
          <w:sz w:val="32"/>
          <w:szCs w:val="32"/>
        </w:rPr>
        <w:outlineLvl w:val="0"/>
      </w:pPr>
      <w:r>
        <w:rPr>
          <w:rFonts w:ascii="宋体" w:hAnsi="宋体"/>
          <w:sz w:val="32"/>
          <w:szCs w:val="32"/>
        </w:rPr>
        <w:br w:type="page" w:clear="all"/>
      </w:r>
      <w:r>
        <w:rPr>
          <w:rFonts w:hint="eastAsia" w:ascii="宋体" w:hAnsi="宋体"/>
          <w:sz w:val="32"/>
          <w:szCs w:val="32"/>
          <w:lang w:val="zh-CN"/>
        </w:rPr>
        <w:t xml:space="preserve">附件15</w:t>
      </w:r>
      <w:r/>
    </w:p>
    <w:p>
      <w:pPr>
        <w:jc w:val="center"/>
        <w:spacing w:line="580" w:lineRule="exact"/>
        <w:rPr>
          <w:rFonts w:ascii="宋体" w:hAnsi="宋体"/>
          <w:sz w:val="44"/>
        </w:rPr>
      </w:pPr>
      <w:r>
        <w:rPr>
          <w:rFonts w:hint="eastAsia" w:ascii="宋体" w:hAnsi="宋体"/>
          <w:bCs/>
          <w:sz w:val="44"/>
          <w:szCs w:val="44"/>
        </w:rPr>
        <w:t xml:space="preserve">办理政采贷和</w:t>
      </w:r>
      <w:r>
        <w:rPr>
          <w:rFonts w:ascii="宋体" w:hAnsi="宋体"/>
          <w:bCs/>
          <w:sz w:val="44"/>
          <w:szCs w:val="44"/>
        </w:rPr>
        <w:t xml:space="preserve">履</w:t>
      </w:r>
      <w:r>
        <w:rPr>
          <w:rFonts w:hint="eastAsia" w:ascii="宋体" w:hAnsi="宋体"/>
          <w:bCs/>
          <w:sz w:val="44"/>
          <w:szCs w:val="44"/>
        </w:rPr>
        <w:t xml:space="preserve">约保函（</w:t>
      </w:r>
      <w:r>
        <w:rPr>
          <w:rFonts w:ascii="宋体" w:hAnsi="宋体"/>
          <w:bCs/>
          <w:sz w:val="44"/>
          <w:szCs w:val="44"/>
        </w:rPr>
        <w:t xml:space="preserve">保险</w:t>
      </w:r>
      <w:r>
        <w:rPr>
          <w:rFonts w:hint="eastAsia" w:ascii="宋体" w:hAnsi="宋体"/>
          <w:bCs/>
          <w:sz w:val="44"/>
          <w:szCs w:val="44"/>
        </w:rPr>
        <w:t xml:space="preserve">）告知函</w:t>
      </w:r>
      <w:r/>
    </w:p>
    <w:p>
      <w:pPr>
        <w:rPr>
          <w:rFonts w:ascii="宋体" w:hAnsi="宋体"/>
          <w:sz w:val="32"/>
        </w:rPr>
      </w:pPr>
      <w:r>
        <w:rPr>
          <w:rFonts w:ascii="宋体" w:hAnsi="宋体"/>
          <w:sz w:val="32"/>
        </w:rPr>
      </w:r>
      <w:r/>
    </w:p>
    <w:p>
      <w:pPr>
        <w:rPr>
          <w:rFonts w:ascii="宋体" w:hAnsi="宋体"/>
          <w:sz w:val="32"/>
        </w:rPr>
      </w:pPr>
      <w:r>
        <w:rPr>
          <w:rFonts w:hint="eastAsia" w:ascii="宋体" w:hAnsi="宋体"/>
          <w:sz w:val="32"/>
        </w:rPr>
        <w:t xml:space="preserve">各政府采购供应商：</w:t>
      </w:r>
      <w:r/>
    </w:p>
    <w:p>
      <w:pPr>
        <w:ind w:firstLine="640"/>
        <w:rPr>
          <w:rFonts w:ascii="宋体" w:hAnsi="宋体"/>
          <w:sz w:val="32"/>
        </w:rPr>
      </w:pPr>
      <w:r>
        <w:rPr>
          <w:rFonts w:hint="eastAsia" w:ascii="宋体" w:hAnsi="宋体"/>
          <w:sz w:val="32"/>
        </w:rPr>
        <w:t xml:space="preserve">欢迎贵公司参与南通市政府采购活动！</w:t>
      </w:r>
      <w:r/>
    </w:p>
    <w:p>
      <w:pPr>
        <w:ind w:firstLine="640"/>
        <w:rPr>
          <w:rFonts w:ascii="宋体" w:hAnsi="宋体"/>
          <w:sz w:val="32"/>
        </w:rPr>
      </w:pPr>
      <w:r>
        <w:rPr>
          <w:rFonts w:hint="eastAsia" w:ascii="宋体" w:hAnsi="宋体"/>
          <w:sz w:val="32"/>
        </w:rPr>
        <w:t xml:space="preserve">政府采购线上合同信用融资和</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）是支持企业发展，针对参与政府采购活动的企业融资难、现金流不足等问题推出的一项服务举措。</w:t>
      </w:r>
      <w:r/>
    </w:p>
    <w:p>
      <w:pPr>
        <w:ind w:firstLine="640"/>
        <w:spacing w:line="580" w:lineRule="exact"/>
        <w:rPr>
          <w:rFonts w:ascii="宋体" w:hAnsi="宋体"/>
          <w:sz w:val="32"/>
          <w:szCs w:val="32"/>
        </w:rPr>
      </w:pPr>
      <w:r>
        <w:rPr>
          <w:rFonts w:hint="eastAsia" w:ascii="宋体" w:hAnsi="宋体"/>
          <w:sz w:val="32"/>
        </w:rPr>
        <w:t xml:space="preserve">贵公司若成为本次政府采购项目的中标（成交）供应商，</w:t>
      </w:r>
      <w:r>
        <w:rPr>
          <w:rFonts w:hint="eastAsia" w:ascii="宋体" w:hAnsi="宋体"/>
          <w:sz w:val="32"/>
          <w:szCs w:val="32"/>
        </w:rPr>
        <w:t xml:space="preserve">可自愿选择</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w:t>
      </w:r>
      <w:r>
        <w:rPr>
          <w:rFonts w:hint="eastAsia" w:ascii="宋体" w:hAnsi="宋体"/>
          <w:sz w:val="32"/>
          <w:szCs w:val="32"/>
        </w:rPr>
        <w:t xml:space="preserve">形式替代履约保证金，也</w:t>
      </w:r>
      <w:r>
        <w:rPr>
          <w:rFonts w:hint="eastAsia" w:ascii="宋体" w:hAnsi="宋体"/>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宋体" w:hAnsi="宋体"/>
          <w:sz w:val="28"/>
          <w:szCs w:val="28"/>
        </w:rPr>
      </w:pPr>
      <w:r>
        <w:rPr>
          <w:rFonts w:hint="eastAsia" w:ascii="宋体" w:hAnsi="宋体"/>
          <w:sz w:val="28"/>
          <w:szCs w:val="28"/>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7"/>
    <w:next w:val="817"/>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8"/>
    <w:link w:val="640"/>
    <w:uiPriority w:val="9"/>
    <w:rPr>
      <w:rFonts w:ascii="Arial" w:hAnsi="Arial" w:eastAsia="Arial" w:cs="Arial"/>
      <w:sz w:val="40"/>
      <w:szCs w:val="40"/>
    </w:rPr>
  </w:style>
  <w:style w:type="paragraph" w:styleId="642">
    <w:name w:val="Heading 2"/>
    <w:basedOn w:val="817"/>
    <w:next w:val="817"/>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basedOn w:val="818"/>
    <w:link w:val="642"/>
    <w:uiPriority w:val="9"/>
    <w:rPr>
      <w:rFonts w:ascii="Arial" w:hAnsi="Arial" w:eastAsia="Arial" w:cs="Arial"/>
      <w:sz w:val="34"/>
    </w:rPr>
  </w:style>
  <w:style w:type="paragraph" w:styleId="644">
    <w:name w:val="Heading 3"/>
    <w:basedOn w:val="817"/>
    <w:next w:val="817"/>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8"/>
    <w:link w:val="644"/>
    <w:uiPriority w:val="9"/>
    <w:rPr>
      <w:rFonts w:ascii="Arial" w:hAnsi="Arial" w:eastAsia="Arial" w:cs="Arial"/>
      <w:sz w:val="30"/>
      <w:szCs w:val="30"/>
    </w:rPr>
  </w:style>
  <w:style w:type="paragraph" w:styleId="646">
    <w:name w:val="Heading 4"/>
    <w:basedOn w:val="817"/>
    <w:next w:val="817"/>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8"/>
    <w:link w:val="646"/>
    <w:uiPriority w:val="9"/>
    <w:rPr>
      <w:rFonts w:ascii="Arial" w:hAnsi="Arial" w:eastAsia="Arial" w:cs="Arial"/>
      <w:b/>
      <w:bCs/>
      <w:sz w:val="26"/>
      <w:szCs w:val="26"/>
    </w:rPr>
  </w:style>
  <w:style w:type="paragraph" w:styleId="648">
    <w:name w:val="Heading 5"/>
    <w:basedOn w:val="817"/>
    <w:next w:val="817"/>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8"/>
    <w:link w:val="648"/>
    <w:uiPriority w:val="9"/>
    <w:rPr>
      <w:rFonts w:ascii="Arial" w:hAnsi="Arial" w:eastAsia="Arial" w:cs="Arial"/>
      <w:b/>
      <w:bCs/>
      <w:sz w:val="24"/>
      <w:szCs w:val="24"/>
    </w:rPr>
  </w:style>
  <w:style w:type="paragraph" w:styleId="650">
    <w:name w:val="Heading 6"/>
    <w:basedOn w:val="817"/>
    <w:next w:val="817"/>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8"/>
    <w:link w:val="650"/>
    <w:uiPriority w:val="9"/>
    <w:rPr>
      <w:rFonts w:ascii="Arial" w:hAnsi="Arial" w:eastAsia="Arial" w:cs="Arial"/>
      <w:b/>
      <w:bCs/>
      <w:sz w:val="22"/>
      <w:szCs w:val="22"/>
    </w:rPr>
  </w:style>
  <w:style w:type="paragraph" w:styleId="652">
    <w:name w:val="Heading 7"/>
    <w:basedOn w:val="817"/>
    <w:next w:val="81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8"/>
    <w:link w:val="652"/>
    <w:uiPriority w:val="9"/>
    <w:rPr>
      <w:rFonts w:ascii="Arial" w:hAnsi="Arial" w:eastAsia="Arial" w:cs="Arial"/>
      <w:b/>
      <w:bCs/>
      <w:i/>
      <w:iCs/>
      <w:sz w:val="22"/>
      <w:szCs w:val="22"/>
    </w:rPr>
  </w:style>
  <w:style w:type="paragraph" w:styleId="654">
    <w:name w:val="Heading 8"/>
    <w:basedOn w:val="817"/>
    <w:next w:val="817"/>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8"/>
    <w:link w:val="654"/>
    <w:uiPriority w:val="9"/>
    <w:rPr>
      <w:rFonts w:ascii="Arial" w:hAnsi="Arial" w:eastAsia="Arial" w:cs="Arial"/>
      <w:i/>
      <w:iCs/>
      <w:sz w:val="22"/>
      <w:szCs w:val="22"/>
    </w:rPr>
  </w:style>
  <w:style w:type="paragraph" w:styleId="656">
    <w:name w:val="Heading 9"/>
    <w:basedOn w:val="817"/>
    <w:next w:val="817"/>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8"/>
    <w:link w:val="656"/>
    <w:uiPriority w:val="9"/>
    <w:rPr>
      <w:rFonts w:ascii="Arial" w:hAnsi="Arial" w:eastAsia="Arial" w:cs="Arial"/>
      <w:i/>
      <w:iCs/>
      <w:sz w:val="21"/>
      <w:szCs w:val="21"/>
    </w:rPr>
  </w:style>
  <w:style w:type="paragraph" w:styleId="658">
    <w:name w:val="List Paragraph"/>
    <w:basedOn w:val="817"/>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7"/>
    <w:next w:val="817"/>
    <w:link w:val="661"/>
    <w:uiPriority w:val="10"/>
    <w:qFormat/>
    <w:pPr>
      <w:contextualSpacing/>
      <w:spacing w:before="300" w:after="200"/>
    </w:pPr>
    <w:rPr>
      <w:sz w:val="48"/>
      <w:szCs w:val="48"/>
    </w:rPr>
  </w:style>
  <w:style w:type="character" w:styleId="661">
    <w:name w:val="Title Char"/>
    <w:basedOn w:val="818"/>
    <w:link w:val="660"/>
    <w:uiPriority w:val="10"/>
    <w:rPr>
      <w:sz w:val="48"/>
      <w:szCs w:val="48"/>
    </w:rPr>
  </w:style>
  <w:style w:type="paragraph" w:styleId="662">
    <w:name w:val="Subtitle"/>
    <w:basedOn w:val="817"/>
    <w:next w:val="817"/>
    <w:link w:val="663"/>
    <w:uiPriority w:val="11"/>
    <w:qFormat/>
    <w:pPr>
      <w:spacing w:before="200" w:after="200"/>
    </w:pPr>
    <w:rPr>
      <w:sz w:val="24"/>
      <w:szCs w:val="24"/>
    </w:rPr>
  </w:style>
  <w:style w:type="character" w:styleId="663">
    <w:name w:val="Subtitle Char"/>
    <w:basedOn w:val="818"/>
    <w:link w:val="662"/>
    <w:uiPriority w:val="11"/>
    <w:rPr>
      <w:sz w:val="24"/>
      <w:szCs w:val="24"/>
    </w:rPr>
  </w:style>
  <w:style w:type="paragraph" w:styleId="664">
    <w:name w:val="Quote"/>
    <w:basedOn w:val="817"/>
    <w:next w:val="817"/>
    <w:link w:val="665"/>
    <w:uiPriority w:val="29"/>
    <w:qFormat/>
    <w:pPr>
      <w:ind w:left="720" w:right="720"/>
    </w:pPr>
    <w:rPr>
      <w:i/>
    </w:rPr>
  </w:style>
  <w:style w:type="character" w:styleId="665">
    <w:name w:val="Quote Char"/>
    <w:link w:val="664"/>
    <w:uiPriority w:val="29"/>
    <w:rPr>
      <w:i/>
    </w:rPr>
  </w:style>
  <w:style w:type="paragraph" w:styleId="666">
    <w:name w:val="Intense Quote"/>
    <w:basedOn w:val="817"/>
    <w:next w:val="817"/>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basedOn w:val="817"/>
    <w:link w:val="669"/>
    <w:uiPriority w:val="99"/>
    <w:unhideWhenUsed/>
    <w:pPr>
      <w:spacing w:after="0" w:line="240" w:lineRule="auto"/>
      <w:tabs>
        <w:tab w:val="center" w:pos="7143" w:leader="none"/>
        <w:tab w:val="right" w:pos="14287" w:leader="none"/>
      </w:tabs>
    </w:pPr>
  </w:style>
  <w:style w:type="character" w:styleId="669">
    <w:name w:val="Header Char"/>
    <w:basedOn w:val="818"/>
    <w:link w:val="668"/>
    <w:uiPriority w:val="99"/>
  </w:style>
  <w:style w:type="paragraph" w:styleId="670">
    <w:name w:val="Footer"/>
    <w:basedOn w:val="817"/>
    <w:link w:val="673"/>
    <w:uiPriority w:val="99"/>
    <w:unhideWhenUsed/>
    <w:pPr>
      <w:spacing w:after="0" w:line="240" w:lineRule="auto"/>
      <w:tabs>
        <w:tab w:val="center" w:pos="7143" w:leader="none"/>
        <w:tab w:val="right" w:pos="14287" w:leader="none"/>
      </w:tabs>
    </w:pPr>
  </w:style>
  <w:style w:type="character" w:styleId="671">
    <w:name w:val="Footer Char"/>
    <w:basedOn w:val="818"/>
    <w:link w:val="670"/>
    <w:uiPriority w:val="99"/>
  </w:style>
  <w:style w:type="paragraph" w:styleId="672">
    <w:name w:val="Caption"/>
    <w:basedOn w:val="817"/>
    <w:next w:val="817"/>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5">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0">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1">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2">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3">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4">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5">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6">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7">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9">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0">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1">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2">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3">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4">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3">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4">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5">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6">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7">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8">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0">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1">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2">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3">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4">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5">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7">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8">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9">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0">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1">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2">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4">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8">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9">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1">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2">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3">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4">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5">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6">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8">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9">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0">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1">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2">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3">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5">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6">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7">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8">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9">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0">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2">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3">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4">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5">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6">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7">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6">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7">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8">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9">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0">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1">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2">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3">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4">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5">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6">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7">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8">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9">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0">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1">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2">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3">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4">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5">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7">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8">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9">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0">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1">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2">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3">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4">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5">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6">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7">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8">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9">
    <w:name w:val="Hyperlink"/>
    <w:uiPriority w:val="99"/>
    <w:unhideWhenUsed/>
    <w:rPr>
      <w:color w:val="0000ff" w:themeColor="hyperlink"/>
      <w:u w:val="single"/>
    </w:rPr>
  </w:style>
  <w:style w:type="paragraph" w:styleId="800">
    <w:name w:val="footnote text"/>
    <w:basedOn w:val="817"/>
    <w:link w:val="801"/>
    <w:uiPriority w:val="99"/>
    <w:semiHidden/>
    <w:unhideWhenUsed/>
    <w:pPr>
      <w:spacing w:after="40" w:line="240" w:lineRule="auto"/>
    </w:pPr>
    <w:rPr>
      <w:sz w:val="18"/>
    </w:rPr>
  </w:style>
  <w:style w:type="character" w:styleId="801">
    <w:name w:val="Footnote Text Char"/>
    <w:link w:val="800"/>
    <w:uiPriority w:val="99"/>
    <w:rPr>
      <w:sz w:val="18"/>
    </w:rPr>
  </w:style>
  <w:style w:type="character" w:styleId="802">
    <w:name w:val="footnote reference"/>
    <w:basedOn w:val="818"/>
    <w:uiPriority w:val="99"/>
    <w:unhideWhenUsed/>
    <w:rPr>
      <w:vertAlign w:val="superscript"/>
    </w:rPr>
  </w:style>
  <w:style w:type="paragraph" w:styleId="803">
    <w:name w:val="endnote text"/>
    <w:basedOn w:val="817"/>
    <w:link w:val="804"/>
    <w:uiPriority w:val="99"/>
    <w:semiHidden/>
    <w:unhideWhenUsed/>
    <w:pPr>
      <w:spacing w:after="0" w:line="240" w:lineRule="auto"/>
    </w:pPr>
    <w:rPr>
      <w:sz w:val="20"/>
    </w:rPr>
  </w:style>
  <w:style w:type="character" w:styleId="804">
    <w:name w:val="Endnote Text Char"/>
    <w:link w:val="803"/>
    <w:uiPriority w:val="99"/>
    <w:rPr>
      <w:sz w:val="20"/>
    </w:rPr>
  </w:style>
  <w:style w:type="character" w:styleId="805">
    <w:name w:val="endnote reference"/>
    <w:basedOn w:val="818"/>
    <w:uiPriority w:val="99"/>
    <w:semiHidden/>
    <w:unhideWhenUsed/>
    <w:rPr>
      <w:vertAlign w:val="superscript"/>
    </w:rPr>
  </w:style>
  <w:style w:type="paragraph" w:styleId="806">
    <w:name w:val="toc 1"/>
    <w:basedOn w:val="817"/>
    <w:next w:val="817"/>
    <w:uiPriority w:val="39"/>
    <w:unhideWhenUsed/>
    <w:pPr>
      <w:ind w:left="0" w:right="0" w:firstLine="0"/>
      <w:spacing w:after="57"/>
    </w:pPr>
  </w:style>
  <w:style w:type="paragraph" w:styleId="807">
    <w:name w:val="toc 2"/>
    <w:basedOn w:val="817"/>
    <w:next w:val="817"/>
    <w:uiPriority w:val="39"/>
    <w:unhideWhenUsed/>
    <w:pPr>
      <w:ind w:left="283" w:right="0" w:firstLine="0"/>
      <w:spacing w:after="57"/>
    </w:pPr>
  </w:style>
  <w:style w:type="paragraph" w:styleId="808">
    <w:name w:val="toc 3"/>
    <w:basedOn w:val="817"/>
    <w:next w:val="817"/>
    <w:uiPriority w:val="39"/>
    <w:unhideWhenUsed/>
    <w:pPr>
      <w:ind w:left="567" w:right="0" w:firstLine="0"/>
      <w:spacing w:after="57"/>
    </w:pPr>
  </w:style>
  <w:style w:type="paragraph" w:styleId="809">
    <w:name w:val="toc 4"/>
    <w:basedOn w:val="817"/>
    <w:next w:val="817"/>
    <w:uiPriority w:val="39"/>
    <w:unhideWhenUsed/>
    <w:pPr>
      <w:ind w:left="850" w:right="0" w:firstLine="0"/>
      <w:spacing w:after="57"/>
    </w:pPr>
  </w:style>
  <w:style w:type="paragraph" w:styleId="810">
    <w:name w:val="toc 5"/>
    <w:basedOn w:val="817"/>
    <w:next w:val="817"/>
    <w:uiPriority w:val="39"/>
    <w:unhideWhenUsed/>
    <w:pPr>
      <w:ind w:left="1134" w:right="0" w:firstLine="0"/>
      <w:spacing w:after="57"/>
    </w:pPr>
  </w:style>
  <w:style w:type="paragraph" w:styleId="811">
    <w:name w:val="toc 6"/>
    <w:basedOn w:val="817"/>
    <w:next w:val="817"/>
    <w:uiPriority w:val="39"/>
    <w:unhideWhenUsed/>
    <w:pPr>
      <w:ind w:left="1417" w:right="0" w:firstLine="0"/>
      <w:spacing w:after="57"/>
    </w:pPr>
  </w:style>
  <w:style w:type="paragraph" w:styleId="812">
    <w:name w:val="toc 7"/>
    <w:basedOn w:val="817"/>
    <w:next w:val="817"/>
    <w:uiPriority w:val="39"/>
    <w:unhideWhenUsed/>
    <w:pPr>
      <w:ind w:left="1701" w:right="0" w:firstLine="0"/>
      <w:spacing w:after="57"/>
    </w:pPr>
  </w:style>
  <w:style w:type="paragraph" w:styleId="813">
    <w:name w:val="toc 8"/>
    <w:basedOn w:val="817"/>
    <w:next w:val="817"/>
    <w:uiPriority w:val="39"/>
    <w:unhideWhenUsed/>
    <w:pPr>
      <w:ind w:left="1984" w:right="0" w:firstLine="0"/>
      <w:spacing w:after="57"/>
    </w:pPr>
  </w:style>
  <w:style w:type="paragraph" w:styleId="814">
    <w:name w:val="toc 9"/>
    <w:basedOn w:val="817"/>
    <w:next w:val="817"/>
    <w:uiPriority w:val="39"/>
    <w:unhideWhenUsed/>
    <w:pPr>
      <w:ind w:left="2268" w:right="0" w:firstLine="0"/>
      <w:spacing w:after="57"/>
    </w:pPr>
  </w:style>
  <w:style w:type="paragraph" w:styleId="815">
    <w:name w:val="TOC Heading"/>
    <w:uiPriority w:val="39"/>
    <w:unhideWhenUsed/>
  </w:style>
  <w:style w:type="paragraph" w:styleId="816">
    <w:name w:val="table of figures"/>
    <w:basedOn w:val="817"/>
    <w:next w:val="817"/>
    <w:uiPriority w:val="99"/>
    <w:unhideWhenUsed/>
    <w:pPr>
      <w:spacing w:after="0" w:afterAutospacing="0"/>
    </w:pPr>
  </w:style>
  <w:style w:type="paragraph" w:styleId="81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18" w:default="1">
    <w:name w:val="Default Paragraph Font"/>
    <w:uiPriority w:val="0"/>
    <w:semiHidden/>
    <w:qFormat/>
  </w:style>
  <w:style w:type="table" w:styleId="819" w:default="1">
    <w:name w:val="Normal Table"/>
    <w:uiPriority w:val="0"/>
    <w:semiHidden/>
    <w:qFormat/>
    <w:tblPr>
      <w:tblCellMar>
        <w:left w:w="108" w:type="dxa"/>
        <w:top w:w="0" w:type="dxa"/>
        <w:right w:w="108" w:type="dxa"/>
        <w:bottom w:w="0" w:type="dxa"/>
      </w:tblCellMar>
    </w:tblPr>
  </w:style>
  <w:style w:type="table" w:styleId="820">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1" w:customStyle="1">
    <w:name w:val="reader-word-layer"/>
    <w:basedOn w:val="817"/>
    <w:uiPriority w:val="0"/>
    <w:qFormat/>
    <w:pPr>
      <w:jc w:val="left"/>
      <w:spacing w:before="100" w:beforeAutospacing="1" w:after="100" w:afterAutospacing="1"/>
      <w:widowControl/>
    </w:pPr>
    <w:rPr>
      <w:rFonts w:ascii="宋体" w:hAnsi="宋体" w:cs="宋体"/>
      <w:sz w:val="24"/>
      <w:szCs w:val="24"/>
    </w:rPr>
  </w:style>
  <w:style w:type="paragraph" w:styleId="822" w:customStyle="1">
    <w:name w:val="正文文本缩进 21"/>
    <w:basedOn w:val="817"/>
    <w:uiPriority w:val="0"/>
    <w:qFormat/>
    <w:pPr>
      <w:ind w:left="630" w:firstLine="645"/>
    </w:pPr>
    <w:rPr>
      <w:rFonts w:ascii="Arial" w:hAnsi="Arial" w:eastAsia="仿宋_GB2312"/>
      <w:sz w:val="32"/>
      <w:szCs w:val="32"/>
    </w:rPr>
  </w:style>
  <w:style w:type="paragraph" w:styleId="823" w:customStyle="1">
    <w:name w:val="BodyText1I21"/>
    <w:basedOn w:val="824"/>
    <w:uiPriority w:val="0"/>
    <w:qFormat/>
    <w:pPr>
      <w:ind w:firstLine="200"/>
    </w:pPr>
  </w:style>
  <w:style w:type="paragraph" w:styleId="824" w:customStyle="1">
    <w:name w:val="BodyTextIndent1"/>
    <w:basedOn w:val="817"/>
    <w:uiPriority w:val="0"/>
    <w:qFormat/>
    <w:pPr>
      <w:ind w:left="420"/>
      <w:spacing w:after="120"/>
    </w:pPr>
  </w:style>
  <w:style w:type="paragraph" w:styleId="825" w:customStyle="1">
    <w:name w:val="正文首行缩进 21"/>
    <w:basedOn w:val="826"/>
    <w:uiPriority w:val="99"/>
    <w:unhideWhenUsed/>
    <w:qFormat/>
    <w:pPr>
      <w:ind w:firstLine="200"/>
    </w:pPr>
  </w:style>
  <w:style w:type="paragraph" w:styleId="826" w:customStyle="1">
    <w:name w:val="正文文本缩进1"/>
    <w:basedOn w:val="817"/>
    <w:next w:val="827"/>
    <w:uiPriority w:val="0"/>
    <w:unhideWhenUsed/>
    <w:qFormat/>
    <w:pPr>
      <w:ind w:left="420"/>
      <w:spacing w:after="120"/>
    </w:pPr>
  </w:style>
  <w:style w:type="paragraph" w:styleId="827" w:customStyle="1">
    <w:name w:val="寄信人地址1"/>
    <w:basedOn w:val="817"/>
    <w:uiPriority w:val="0"/>
    <w:unhideWhenUsed/>
    <w:qFormat/>
    <w:rPr>
      <w:rFonts w:ascii="Arial" w:hAnsi="Arial"/>
    </w:rPr>
  </w:style>
  <w:style w:type="paragraph" w:styleId="828" w:customStyle="1">
    <w:name w:val="BodyText"/>
    <w:uiPriority w:val="0"/>
    <w:qFormat/>
    <w:pPr>
      <w:spacing w:after="120"/>
      <w:widowControl w:val="off"/>
    </w:pPr>
    <w:rPr>
      <w:rFonts w:ascii="Calibri" w:hAnsi="宋体" w:eastAsia="宋体" w:cs="宋体"/>
      <w:szCs w:val="22"/>
      <w:lang w:val="en-US" w:eastAsia="zh-CN" w:bidi="ar-SA"/>
    </w:rPr>
  </w:style>
  <w:style w:type="numbering" w:styleId="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g"/><Relationship Id="rId19"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万丽丽</cp:lastModifiedBy>
  <cp:revision>3</cp:revision>
  <dcterms:created xsi:type="dcterms:W3CDTF">2026-05-19T06:46:00Z</dcterms:created>
  <dcterms:modified xsi:type="dcterms:W3CDTF">2026-06-05T11:37:09Z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A09D8732E0E942CA8FA54FCB1AFCA483_11</vt:lpwstr>
  </property>
  <property fmtid="{D5CDD505-2E9C-101B-9397-08002B2CF9AE}" pid="4" name="KSOTemplateDocerSaveRecord">
    <vt:lpwstr>eyJoZGlkIjoiOTk4ZDg2NmU3YTRhODY5ZGMxNjM2NTkzYjIwZTkyZWUiLCJ1c2VySWQiOiI1NzU0MTI5ODYifQ==</vt:lpwstr>
  </property>
</Properties>
</file>